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690F" w:rsidRDefault="0012690F" w:rsidP="0012690F">
      <w:pPr>
        <w:pBdr>
          <w:top w:val="single" w:sz="4" w:space="1" w:color="auto"/>
          <w:left w:val="single" w:sz="4" w:space="4" w:color="auto"/>
          <w:bottom w:val="single" w:sz="4" w:space="1" w:color="auto"/>
          <w:right w:val="single" w:sz="4" w:space="4" w:color="auto"/>
        </w:pBdr>
        <w:spacing w:after="0" w:line="240" w:lineRule="auto"/>
        <w:jc w:val="both"/>
        <w:rPr>
          <w:b/>
          <w:color w:val="000000" w:themeColor="text1"/>
          <w:sz w:val="24"/>
          <w:szCs w:val="24"/>
        </w:rPr>
      </w:pPr>
    </w:p>
    <w:p w:rsidR="00CC41F7" w:rsidRDefault="0012690F" w:rsidP="0012690F">
      <w:pPr>
        <w:pBdr>
          <w:top w:val="single" w:sz="4" w:space="1" w:color="auto"/>
          <w:left w:val="single" w:sz="4" w:space="4" w:color="auto"/>
          <w:bottom w:val="single" w:sz="4" w:space="1" w:color="auto"/>
          <w:right w:val="single" w:sz="4" w:space="4" w:color="auto"/>
        </w:pBdr>
        <w:spacing w:after="0" w:line="240" w:lineRule="auto"/>
        <w:jc w:val="both"/>
        <w:rPr>
          <w:b/>
          <w:color w:val="000000" w:themeColor="text1"/>
          <w:sz w:val="24"/>
          <w:szCs w:val="24"/>
        </w:rPr>
      </w:pPr>
      <w:r>
        <w:rPr>
          <w:b/>
          <w:color w:val="000000" w:themeColor="text1"/>
          <w:sz w:val="24"/>
          <w:szCs w:val="24"/>
        </w:rPr>
        <w:t>Notas sobre las Sentencias del Tribunal Supremo que a</w:t>
      </w:r>
      <w:r w:rsidR="00CC41F7" w:rsidRPr="003A53E0">
        <w:rPr>
          <w:b/>
          <w:color w:val="000000" w:themeColor="text1"/>
          <w:sz w:val="24"/>
          <w:szCs w:val="24"/>
        </w:rPr>
        <w:t>vala</w:t>
      </w:r>
      <w:r>
        <w:rPr>
          <w:b/>
          <w:color w:val="000000" w:themeColor="text1"/>
          <w:sz w:val="24"/>
          <w:szCs w:val="24"/>
        </w:rPr>
        <w:t>n</w:t>
      </w:r>
      <w:r w:rsidR="00CC41F7" w:rsidRPr="003A53E0">
        <w:rPr>
          <w:b/>
          <w:color w:val="000000" w:themeColor="text1"/>
          <w:sz w:val="24"/>
          <w:szCs w:val="24"/>
        </w:rPr>
        <w:t xml:space="preserve"> las tasas municipales a las instalaciones de electricidad y gas</w:t>
      </w:r>
    </w:p>
    <w:p w:rsidR="0012690F" w:rsidRPr="003A53E0" w:rsidRDefault="0012690F" w:rsidP="0012690F">
      <w:pPr>
        <w:pBdr>
          <w:top w:val="single" w:sz="4" w:space="1" w:color="auto"/>
          <w:left w:val="single" w:sz="4" w:space="4" w:color="auto"/>
          <w:bottom w:val="single" w:sz="4" w:space="1" w:color="auto"/>
          <w:right w:val="single" w:sz="4" w:space="4" w:color="auto"/>
        </w:pBdr>
        <w:spacing w:after="0" w:line="240" w:lineRule="auto"/>
        <w:jc w:val="both"/>
        <w:rPr>
          <w:b/>
          <w:color w:val="000000" w:themeColor="text1"/>
          <w:sz w:val="24"/>
          <w:szCs w:val="24"/>
        </w:rPr>
      </w:pPr>
    </w:p>
    <w:p w:rsidR="00CC41F7" w:rsidRPr="003A53E0" w:rsidRDefault="00CC41F7" w:rsidP="00CC41F7">
      <w:pPr>
        <w:spacing w:after="0" w:line="240" w:lineRule="auto"/>
        <w:jc w:val="both"/>
        <w:rPr>
          <w:b/>
          <w:color w:val="000000" w:themeColor="text1"/>
          <w:sz w:val="24"/>
          <w:szCs w:val="24"/>
          <w:u w:val="single"/>
        </w:rPr>
      </w:pPr>
    </w:p>
    <w:p w:rsidR="00CC41F7" w:rsidRPr="003A53E0" w:rsidRDefault="00CC41F7" w:rsidP="00C05116">
      <w:pPr>
        <w:spacing w:after="0" w:line="240" w:lineRule="auto"/>
        <w:ind w:firstLine="567"/>
        <w:jc w:val="both"/>
        <w:rPr>
          <w:color w:val="000000" w:themeColor="text1"/>
          <w:sz w:val="24"/>
          <w:szCs w:val="24"/>
        </w:rPr>
      </w:pPr>
      <w:r w:rsidRPr="003A53E0">
        <w:rPr>
          <w:color w:val="000000" w:themeColor="text1"/>
          <w:sz w:val="24"/>
          <w:szCs w:val="24"/>
        </w:rPr>
        <w:t xml:space="preserve">En cinco sentencias dictadas en el mes de diciembre de 2016, la Sala de lo Contencioso del Tribunal Supremo avala las ordenanzas municipales fiscales del año 2014 de los ayuntamientos de Arteixo (A Coruña, Serradilla (Cáceres) y Villalcampo (Zamora) que establecían la regulación y las tarifas de la </w:t>
      </w:r>
      <w:r w:rsidRPr="003A53E0">
        <w:rPr>
          <w:i/>
          <w:color w:val="000000" w:themeColor="text1"/>
          <w:sz w:val="24"/>
          <w:szCs w:val="24"/>
        </w:rPr>
        <w:t>“tasa por utilización privativa o aprovechamiento especial del dominio público local de las instalaciones de transporte de energía eléctrica, gas, agua e hidrocarburos”.</w:t>
      </w:r>
    </w:p>
    <w:p w:rsidR="00CC41F7" w:rsidRPr="003A53E0" w:rsidRDefault="00CC41F7" w:rsidP="00C05116">
      <w:pPr>
        <w:spacing w:after="0" w:line="240" w:lineRule="auto"/>
        <w:ind w:firstLine="567"/>
        <w:jc w:val="both"/>
        <w:rPr>
          <w:color w:val="000000" w:themeColor="text1"/>
          <w:sz w:val="24"/>
          <w:szCs w:val="24"/>
        </w:rPr>
      </w:pPr>
    </w:p>
    <w:p w:rsidR="003A53E0" w:rsidRPr="003A53E0" w:rsidRDefault="003A53E0" w:rsidP="00C05116">
      <w:pPr>
        <w:spacing w:after="0" w:line="240" w:lineRule="auto"/>
        <w:ind w:firstLine="567"/>
        <w:jc w:val="both"/>
        <w:rPr>
          <w:color w:val="000000" w:themeColor="text1"/>
          <w:sz w:val="24"/>
          <w:szCs w:val="24"/>
        </w:rPr>
      </w:pPr>
      <w:r w:rsidRPr="003A53E0">
        <w:rPr>
          <w:color w:val="000000" w:themeColor="text1"/>
          <w:sz w:val="24"/>
          <w:szCs w:val="24"/>
        </w:rPr>
        <w:t>El Supremo, contra la postura de las empresas, considera que las citadas ordenanzas no vulneran los artículos 24 y 25 del texto refundido de la Ley de Haciendas Locales, que establece que el importe de estas tasas se fijará tomando como referencia el valor que tendría en el mercado la utilidad derivada de dicha utilización o aprovechando, si los bienes afectados no fueses de dominio público.</w:t>
      </w:r>
    </w:p>
    <w:p w:rsidR="003A53E0" w:rsidRDefault="003A53E0" w:rsidP="00C05116">
      <w:pPr>
        <w:spacing w:after="0" w:line="240" w:lineRule="auto"/>
        <w:ind w:firstLine="567"/>
        <w:jc w:val="both"/>
        <w:rPr>
          <w:color w:val="000000" w:themeColor="text1"/>
          <w:sz w:val="24"/>
          <w:szCs w:val="24"/>
        </w:rPr>
      </w:pPr>
    </w:p>
    <w:p w:rsidR="00CC41F7" w:rsidRPr="003A53E0" w:rsidRDefault="00CC41F7" w:rsidP="00C05116">
      <w:pPr>
        <w:spacing w:after="0" w:line="240" w:lineRule="auto"/>
        <w:ind w:firstLine="567"/>
        <w:jc w:val="both"/>
        <w:rPr>
          <w:color w:val="000000" w:themeColor="text1"/>
          <w:sz w:val="24"/>
          <w:szCs w:val="24"/>
        </w:rPr>
      </w:pPr>
      <w:r w:rsidRPr="003A53E0">
        <w:rPr>
          <w:color w:val="000000" w:themeColor="text1"/>
          <w:sz w:val="24"/>
          <w:szCs w:val="24"/>
        </w:rPr>
        <w:t>El cálculo de las tarifas de la tasa se realiza de acuerdo a un estudio técnico-económico, según el cual, el valor del inmueble se obtiene sumando el valor catastral del suelo rústico con construcciones al valor de las instalaciones, y la base imponible es resultado de multiplicar ese valor del inmueble al coeficiente de relación con el mercado y la ocupación en metro cuadrado que corresponde a cada metro lineal.</w:t>
      </w:r>
    </w:p>
    <w:p w:rsidR="00CC41F7" w:rsidRPr="003A53E0" w:rsidRDefault="00CC41F7" w:rsidP="00C05116">
      <w:pPr>
        <w:spacing w:after="0" w:line="240" w:lineRule="auto"/>
        <w:ind w:firstLine="567"/>
        <w:jc w:val="both"/>
        <w:rPr>
          <w:color w:val="000000" w:themeColor="text1"/>
          <w:sz w:val="24"/>
          <w:szCs w:val="24"/>
        </w:rPr>
      </w:pPr>
    </w:p>
    <w:p w:rsidR="00CC41F7" w:rsidRPr="003A53E0" w:rsidRDefault="00294A9F" w:rsidP="00C05116">
      <w:pPr>
        <w:spacing w:after="0" w:line="240" w:lineRule="auto"/>
        <w:ind w:firstLine="567"/>
        <w:jc w:val="both"/>
        <w:rPr>
          <w:i/>
          <w:color w:val="000000" w:themeColor="text1"/>
          <w:sz w:val="24"/>
          <w:szCs w:val="24"/>
        </w:rPr>
      </w:pPr>
      <w:r w:rsidRPr="003A53E0">
        <w:rPr>
          <w:color w:val="000000" w:themeColor="text1"/>
          <w:sz w:val="24"/>
          <w:szCs w:val="24"/>
        </w:rPr>
        <w:t xml:space="preserve">El alto tribunal recuerda que </w:t>
      </w:r>
      <w:r w:rsidRPr="003A53E0">
        <w:rPr>
          <w:i/>
          <w:color w:val="000000" w:themeColor="text1"/>
          <w:sz w:val="24"/>
          <w:szCs w:val="24"/>
        </w:rPr>
        <w:t xml:space="preserve">“al cuantificar la tasa no se trata de alcanzar el valor de mercado del suelo por el que discurren las instalaciones que determinen el aprovechamiento especial o el uso privado del dominio público local, sino el de utilidad que esos aprovechamientos o usos reportan. Por ello, son admisibles todos los métodos </w:t>
      </w:r>
      <w:r w:rsidR="006B6B01" w:rsidRPr="003A53E0">
        <w:rPr>
          <w:i/>
          <w:color w:val="000000" w:themeColor="text1"/>
          <w:sz w:val="24"/>
          <w:szCs w:val="24"/>
        </w:rPr>
        <w:t>que, cualquiera que sea el camino seguido, desemboquen en un valor que represente la utilidad en el mercado obtenida por el sujeto pasivo”.</w:t>
      </w:r>
    </w:p>
    <w:p w:rsidR="007F3B3D" w:rsidRDefault="007F3B3D" w:rsidP="00CC41F7">
      <w:pPr>
        <w:spacing w:after="0" w:line="240" w:lineRule="auto"/>
        <w:jc w:val="both"/>
        <w:rPr>
          <w:b/>
          <w:color w:val="000000" w:themeColor="text1"/>
          <w:sz w:val="24"/>
          <w:szCs w:val="24"/>
        </w:rPr>
      </w:pPr>
    </w:p>
    <w:p w:rsidR="0012426D" w:rsidRDefault="0012426D" w:rsidP="00CC41F7">
      <w:pPr>
        <w:spacing w:after="0" w:line="240" w:lineRule="auto"/>
        <w:jc w:val="both"/>
        <w:rPr>
          <w:b/>
          <w:color w:val="000000" w:themeColor="text1"/>
          <w:sz w:val="24"/>
          <w:szCs w:val="24"/>
        </w:rPr>
      </w:pPr>
      <w:bookmarkStart w:id="0" w:name="_GoBack"/>
      <w:bookmarkEnd w:id="0"/>
    </w:p>
    <w:p w:rsidR="003A53E0" w:rsidRPr="003A53E0" w:rsidRDefault="003A53E0" w:rsidP="00CC41F7">
      <w:pPr>
        <w:spacing w:after="0" w:line="240" w:lineRule="auto"/>
        <w:jc w:val="both"/>
        <w:rPr>
          <w:b/>
          <w:color w:val="000000" w:themeColor="text1"/>
          <w:sz w:val="24"/>
          <w:szCs w:val="24"/>
        </w:rPr>
      </w:pPr>
      <w:r w:rsidRPr="003A53E0">
        <w:rPr>
          <w:b/>
          <w:color w:val="000000" w:themeColor="text1"/>
          <w:sz w:val="24"/>
          <w:szCs w:val="24"/>
        </w:rPr>
        <w:t>Ordenanzas reguladoras de la tasa por utilización privativa o aprovechamiento especial del dominio público local de las instalaciones de energía eléctrica, gas, agua</w:t>
      </w:r>
      <w:r w:rsidR="007F3B3D">
        <w:rPr>
          <w:b/>
          <w:color w:val="000000" w:themeColor="text1"/>
          <w:sz w:val="24"/>
          <w:szCs w:val="24"/>
        </w:rPr>
        <w:t xml:space="preserve"> e hidrocarburos, que han sido avaladas por el Tribunal Supremo.</w:t>
      </w:r>
    </w:p>
    <w:p w:rsidR="003A53E0" w:rsidRPr="003A53E0" w:rsidRDefault="003A53E0" w:rsidP="00CC41F7">
      <w:pPr>
        <w:spacing w:after="0" w:line="240" w:lineRule="auto"/>
        <w:jc w:val="both"/>
        <w:rPr>
          <w:b/>
          <w:i/>
          <w:color w:val="000000" w:themeColor="text1"/>
          <w:sz w:val="24"/>
          <w:szCs w:val="24"/>
        </w:rPr>
      </w:pPr>
    </w:p>
    <w:p w:rsidR="003A53E0" w:rsidRPr="003A53E0" w:rsidRDefault="003A53E0" w:rsidP="00C05116">
      <w:pPr>
        <w:spacing w:after="0" w:line="240" w:lineRule="auto"/>
        <w:ind w:firstLine="567"/>
        <w:jc w:val="both"/>
        <w:rPr>
          <w:color w:val="000000" w:themeColor="text1"/>
          <w:sz w:val="24"/>
          <w:szCs w:val="24"/>
        </w:rPr>
      </w:pPr>
      <w:r w:rsidRPr="003A53E0">
        <w:rPr>
          <w:color w:val="000000" w:themeColor="text1"/>
          <w:sz w:val="24"/>
          <w:szCs w:val="24"/>
        </w:rPr>
        <w:t>Ordenanza Fiscal del Ayuntamiento de Villalcampo, publicada en el Boletín Oficial de la Provincia de Zamora, númer</w:t>
      </w:r>
      <w:r w:rsidR="00D62308">
        <w:rPr>
          <w:color w:val="000000" w:themeColor="text1"/>
          <w:sz w:val="24"/>
          <w:szCs w:val="24"/>
        </w:rPr>
        <w:t>o 143, de 3 de diciembre de 201</w:t>
      </w:r>
      <w:r w:rsidR="00AB63A3">
        <w:rPr>
          <w:color w:val="000000" w:themeColor="text1"/>
          <w:sz w:val="24"/>
          <w:szCs w:val="24"/>
        </w:rPr>
        <w:t>4</w:t>
      </w:r>
      <w:r w:rsidRPr="003A53E0">
        <w:rPr>
          <w:color w:val="000000" w:themeColor="text1"/>
          <w:sz w:val="24"/>
          <w:szCs w:val="24"/>
        </w:rPr>
        <w:t>.</w:t>
      </w:r>
    </w:p>
    <w:p w:rsidR="003A53E0" w:rsidRPr="003A53E0" w:rsidRDefault="003A53E0" w:rsidP="00C05116">
      <w:pPr>
        <w:spacing w:after="0" w:line="240" w:lineRule="auto"/>
        <w:ind w:firstLine="567"/>
        <w:jc w:val="both"/>
        <w:rPr>
          <w:color w:val="000000" w:themeColor="text1"/>
          <w:sz w:val="24"/>
          <w:szCs w:val="24"/>
        </w:rPr>
      </w:pPr>
    </w:p>
    <w:p w:rsidR="003A53E0" w:rsidRPr="003A53E0" w:rsidRDefault="003A53E0" w:rsidP="00C05116">
      <w:pPr>
        <w:spacing w:after="0" w:line="240" w:lineRule="auto"/>
        <w:ind w:firstLine="567"/>
        <w:jc w:val="both"/>
        <w:rPr>
          <w:color w:val="000000" w:themeColor="text1"/>
          <w:sz w:val="24"/>
          <w:szCs w:val="24"/>
        </w:rPr>
      </w:pPr>
      <w:r w:rsidRPr="003A53E0">
        <w:rPr>
          <w:color w:val="000000" w:themeColor="text1"/>
          <w:sz w:val="24"/>
          <w:szCs w:val="24"/>
        </w:rPr>
        <w:t>Ordenanza Fiscal del Ayuntamiento de Serradilla, publicada en el Boletín Oficial de la Provincia de Cáceres, número</w:t>
      </w:r>
      <w:r w:rsidR="00D62308">
        <w:rPr>
          <w:color w:val="000000" w:themeColor="text1"/>
          <w:sz w:val="24"/>
          <w:szCs w:val="24"/>
        </w:rPr>
        <w:t xml:space="preserve"> 242, de 17 de diciembre de 2014</w:t>
      </w:r>
      <w:r w:rsidRPr="003A53E0">
        <w:rPr>
          <w:color w:val="000000" w:themeColor="text1"/>
          <w:sz w:val="24"/>
          <w:szCs w:val="24"/>
        </w:rPr>
        <w:t>.</w:t>
      </w:r>
    </w:p>
    <w:p w:rsidR="003A53E0" w:rsidRPr="003A53E0" w:rsidRDefault="003A53E0" w:rsidP="00C05116">
      <w:pPr>
        <w:spacing w:after="0" w:line="240" w:lineRule="auto"/>
        <w:ind w:firstLine="567"/>
        <w:jc w:val="both"/>
        <w:rPr>
          <w:b/>
          <w:i/>
          <w:color w:val="000000" w:themeColor="text1"/>
          <w:sz w:val="24"/>
          <w:szCs w:val="24"/>
        </w:rPr>
      </w:pPr>
      <w:r w:rsidRPr="003A53E0">
        <w:rPr>
          <w:b/>
          <w:i/>
          <w:color w:val="000000" w:themeColor="text1"/>
          <w:sz w:val="24"/>
          <w:szCs w:val="24"/>
        </w:rPr>
        <w:t xml:space="preserve"> </w:t>
      </w:r>
    </w:p>
    <w:p w:rsidR="003A53E0" w:rsidRPr="003A53E0" w:rsidRDefault="003A53E0" w:rsidP="00C05116">
      <w:pPr>
        <w:spacing w:after="0" w:line="240" w:lineRule="auto"/>
        <w:ind w:firstLine="567"/>
        <w:jc w:val="both"/>
        <w:rPr>
          <w:color w:val="000000" w:themeColor="text1"/>
          <w:sz w:val="24"/>
          <w:szCs w:val="24"/>
        </w:rPr>
      </w:pPr>
      <w:r w:rsidRPr="003A53E0">
        <w:rPr>
          <w:color w:val="000000" w:themeColor="text1"/>
          <w:sz w:val="24"/>
          <w:szCs w:val="24"/>
        </w:rPr>
        <w:t>Ordenanza Fiscal del Ayuntamiento de Arteixo, publicada en el Boletín Oficial de la Provincia de A Coruña, número</w:t>
      </w:r>
      <w:r w:rsidR="00D62308">
        <w:rPr>
          <w:color w:val="000000" w:themeColor="text1"/>
          <w:sz w:val="24"/>
          <w:szCs w:val="24"/>
        </w:rPr>
        <w:t xml:space="preserve"> 249, de 30 de diciembre de 201</w:t>
      </w:r>
      <w:r w:rsidR="00AB63A3">
        <w:rPr>
          <w:color w:val="000000" w:themeColor="text1"/>
          <w:sz w:val="24"/>
          <w:szCs w:val="24"/>
        </w:rPr>
        <w:t>4</w:t>
      </w:r>
      <w:r w:rsidRPr="003A53E0">
        <w:rPr>
          <w:color w:val="000000" w:themeColor="text1"/>
          <w:sz w:val="24"/>
          <w:szCs w:val="24"/>
        </w:rPr>
        <w:t>.</w:t>
      </w:r>
    </w:p>
    <w:p w:rsidR="007F3B3D" w:rsidRDefault="007F3B3D" w:rsidP="00CC41F7">
      <w:pPr>
        <w:spacing w:after="0" w:line="240" w:lineRule="auto"/>
        <w:jc w:val="both"/>
        <w:rPr>
          <w:b/>
          <w:i/>
          <w:color w:val="000000" w:themeColor="text1"/>
          <w:sz w:val="24"/>
          <w:szCs w:val="24"/>
        </w:rPr>
      </w:pPr>
    </w:p>
    <w:p w:rsidR="0012426D" w:rsidRDefault="0012426D" w:rsidP="00CC41F7">
      <w:pPr>
        <w:spacing w:after="0" w:line="240" w:lineRule="auto"/>
        <w:jc w:val="both"/>
        <w:rPr>
          <w:b/>
          <w:i/>
          <w:color w:val="000000" w:themeColor="text1"/>
          <w:sz w:val="24"/>
          <w:szCs w:val="24"/>
        </w:rPr>
      </w:pPr>
    </w:p>
    <w:p w:rsidR="0012426D" w:rsidRPr="003A53E0" w:rsidRDefault="0012426D" w:rsidP="00CC41F7">
      <w:pPr>
        <w:spacing w:after="0" w:line="240" w:lineRule="auto"/>
        <w:jc w:val="both"/>
        <w:rPr>
          <w:b/>
          <w:i/>
          <w:color w:val="000000" w:themeColor="text1"/>
          <w:sz w:val="24"/>
          <w:szCs w:val="24"/>
        </w:rPr>
      </w:pPr>
    </w:p>
    <w:p w:rsidR="00CC41F7" w:rsidRPr="003A53E0" w:rsidRDefault="007F3B3D" w:rsidP="00CC41F7">
      <w:pPr>
        <w:spacing w:after="0" w:line="240" w:lineRule="auto"/>
        <w:jc w:val="both"/>
        <w:rPr>
          <w:b/>
          <w:color w:val="000000" w:themeColor="text1"/>
          <w:sz w:val="24"/>
          <w:szCs w:val="24"/>
        </w:rPr>
      </w:pPr>
      <w:r>
        <w:rPr>
          <w:b/>
          <w:color w:val="000000" w:themeColor="text1"/>
          <w:sz w:val="24"/>
          <w:szCs w:val="24"/>
        </w:rPr>
        <w:t>Jurisprudencia del Tribunal Supremo.</w:t>
      </w:r>
    </w:p>
    <w:p w:rsidR="0012426D" w:rsidRDefault="0012426D" w:rsidP="00C05116">
      <w:pPr>
        <w:spacing w:after="0" w:line="240" w:lineRule="auto"/>
        <w:ind w:firstLine="567"/>
        <w:jc w:val="both"/>
        <w:rPr>
          <w:color w:val="000000" w:themeColor="text1"/>
          <w:sz w:val="24"/>
          <w:szCs w:val="24"/>
        </w:rPr>
      </w:pPr>
    </w:p>
    <w:p w:rsidR="0058333F" w:rsidRPr="003A53E0" w:rsidRDefault="0058333F"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w:t>
      </w:r>
      <w:r w:rsidR="0078768E" w:rsidRPr="003A53E0">
        <w:rPr>
          <w:color w:val="000000" w:themeColor="text1"/>
          <w:sz w:val="24"/>
          <w:szCs w:val="24"/>
        </w:rPr>
        <w:t>úmero 336</w:t>
      </w:r>
      <w:r w:rsidRPr="003A53E0">
        <w:rPr>
          <w:color w:val="000000" w:themeColor="text1"/>
          <w:sz w:val="24"/>
          <w:szCs w:val="24"/>
        </w:rPr>
        <w:t>/2016, de 21 de diciembre de 2016.</w:t>
      </w:r>
    </w:p>
    <w:p w:rsidR="00D36D42" w:rsidRDefault="00D36D42" w:rsidP="00C05116">
      <w:pPr>
        <w:spacing w:after="0" w:line="240" w:lineRule="auto"/>
        <w:ind w:firstLine="567"/>
        <w:jc w:val="both"/>
        <w:rPr>
          <w:color w:val="000000" w:themeColor="text1"/>
          <w:sz w:val="24"/>
          <w:szCs w:val="24"/>
        </w:rPr>
      </w:pPr>
    </w:p>
    <w:p w:rsidR="0058333F" w:rsidRPr="003A53E0" w:rsidRDefault="0058333F"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w:t>
      </w:r>
      <w:r w:rsidR="0078768E" w:rsidRPr="003A53E0">
        <w:rPr>
          <w:color w:val="000000" w:themeColor="text1"/>
          <w:sz w:val="24"/>
          <w:szCs w:val="24"/>
        </w:rPr>
        <w:t>úmero 436</w:t>
      </w:r>
      <w:r w:rsidRPr="003A53E0">
        <w:rPr>
          <w:color w:val="000000" w:themeColor="text1"/>
          <w:sz w:val="24"/>
          <w:szCs w:val="24"/>
        </w:rPr>
        <w:t>/2016, de 21 de diciembre de 2016.</w:t>
      </w:r>
    </w:p>
    <w:p w:rsidR="0058333F" w:rsidRPr="003A53E0" w:rsidRDefault="0058333F" w:rsidP="00C05116">
      <w:pPr>
        <w:spacing w:after="0" w:line="240" w:lineRule="auto"/>
        <w:ind w:firstLine="567"/>
        <w:jc w:val="both"/>
        <w:rPr>
          <w:color w:val="000000" w:themeColor="text1"/>
          <w:sz w:val="24"/>
          <w:szCs w:val="24"/>
        </w:rPr>
      </w:pPr>
    </w:p>
    <w:p w:rsidR="001A5B93" w:rsidRPr="003A53E0" w:rsidRDefault="001A5B93"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Número 580/2016, de 21 de diciembre de 2016.</w:t>
      </w:r>
    </w:p>
    <w:p w:rsidR="001A5B93" w:rsidRPr="003A53E0" w:rsidRDefault="001A5B93" w:rsidP="00C05116">
      <w:pPr>
        <w:spacing w:after="0" w:line="240" w:lineRule="auto"/>
        <w:ind w:firstLine="567"/>
        <w:jc w:val="both"/>
        <w:rPr>
          <w:color w:val="000000" w:themeColor="text1"/>
          <w:sz w:val="24"/>
          <w:szCs w:val="24"/>
        </w:rPr>
      </w:pPr>
    </w:p>
    <w:p w:rsidR="0058333F" w:rsidRPr="003A53E0" w:rsidRDefault="0058333F"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w:t>
      </w:r>
      <w:r w:rsidR="0078768E" w:rsidRPr="003A53E0">
        <w:rPr>
          <w:color w:val="000000" w:themeColor="text1"/>
          <w:sz w:val="24"/>
          <w:szCs w:val="24"/>
        </w:rPr>
        <w:t>úmero 947</w:t>
      </w:r>
      <w:r w:rsidRPr="003A53E0">
        <w:rPr>
          <w:color w:val="000000" w:themeColor="text1"/>
          <w:sz w:val="24"/>
          <w:szCs w:val="24"/>
        </w:rPr>
        <w:t>/2016, de 21 de diciembre de 2016.</w:t>
      </w:r>
    </w:p>
    <w:p w:rsidR="0058333F" w:rsidRPr="003A53E0" w:rsidRDefault="0058333F" w:rsidP="00C05116">
      <w:pPr>
        <w:spacing w:after="0" w:line="240" w:lineRule="auto"/>
        <w:ind w:firstLine="567"/>
        <w:jc w:val="both"/>
        <w:rPr>
          <w:b/>
          <w:color w:val="000000" w:themeColor="text1"/>
          <w:sz w:val="24"/>
          <w:szCs w:val="24"/>
          <w:u w:val="single"/>
        </w:rPr>
      </w:pPr>
    </w:p>
    <w:p w:rsidR="001A5B93" w:rsidRPr="003A53E0" w:rsidRDefault="001A5B93" w:rsidP="00C05116">
      <w:pPr>
        <w:spacing w:after="0" w:line="240" w:lineRule="auto"/>
        <w:ind w:firstLine="567"/>
        <w:jc w:val="both"/>
        <w:rPr>
          <w:color w:val="000000" w:themeColor="text1"/>
          <w:sz w:val="24"/>
          <w:szCs w:val="24"/>
        </w:rPr>
      </w:pPr>
      <w:r w:rsidRPr="003A53E0">
        <w:rPr>
          <w:color w:val="000000" w:themeColor="text1"/>
          <w:sz w:val="24"/>
          <w:szCs w:val="24"/>
        </w:rPr>
        <w:t>Sentencia del Tribunal Supremo, Sala de lo Contencioso, Sección 2, Recurso Número 1117/2016, de 21 de diciembre de 2016.</w:t>
      </w:r>
    </w:p>
    <w:p w:rsidR="007F3B3D" w:rsidRPr="003A53E0" w:rsidRDefault="007F3B3D" w:rsidP="00CC41F7">
      <w:pPr>
        <w:spacing w:after="0" w:line="240" w:lineRule="auto"/>
        <w:jc w:val="both"/>
        <w:rPr>
          <w:b/>
          <w:color w:val="000000" w:themeColor="text1"/>
          <w:sz w:val="28"/>
          <w:szCs w:val="28"/>
          <w:u w:val="single"/>
        </w:rPr>
      </w:pPr>
    </w:p>
    <w:p w:rsidR="00460500" w:rsidRPr="00460500" w:rsidRDefault="00460500" w:rsidP="00460500">
      <w:pPr>
        <w:tabs>
          <w:tab w:val="left" w:pos="720"/>
        </w:tabs>
        <w:spacing w:after="0" w:line="240" w:lineRule="auto"/>
        <w:ind w:right="100"/>
        <w:jc w:val="both"/>
        <w:rPr>
          <w:rFonts w:eastAsia="Times New Roman" w:cs="Arial"/>
          <w:sz w:val="24"/>
          <w:szCs w:val="24"/>
          <w:lang w:eastAsia="es-ES"/>
        </w:rPr>
      </w:pPr>
    </w:p>
    <w:sectPr w:rsidR="00460500" w:rsidRPr="00460500" w:rsidSect="0012426D">
      <w:footerReference w:type="default" r:id="rId8"/>
      <w:pgSz w:w="11906" w:h="16838"/>
      <w:pgMar w:top="2127" w:right="1701" w:bottom="1276" w:left="1701" w:header="708" w:footer="4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1869" w:rsidRDefault="00971869" w:rsidP="00951A3C">
      <w:pPr>
        <w:spacing w:after="0" w:line="240" w:lineRule="auto"/>
      </w:pPr>
      <w:r>
        <w:separator/>
      </w:r>
    </w:p>
  </w:endnote>
  <w:endnote w:type="continuationSeparator" w:id="0">
    <w:p w:rsidR="00971869" w:rsidRDefault="00971869" w:rsidP="00951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8018415"/>
      <w:docPartObj>
        <w:docPartGallery w:val="Page Numbers (Bottom of Page)"/>
        <w:docPartUnique/>
      </w:docPartObj>
    </w:sdtPr>
    <w:sdtEndPr/>
    <w:sdtContent>
      <w:p w:rsidR="00AE207F" w:rsidRDefault="001512C4" w:rsidP="001512C4">
        <w:pPr>
          <w:pStyle w:val="Piedepgina"/>
          <w:tabs>
            <w:tab w:val="left" w:pos="7410"/>
          </w:tabs>
        </w:pPr>
        <w:r>
          <w:tab/>
        </w:r>
        <w:r>
          <w:tab/>
        </w:r>
        <w:r>
          <w:tab/>
        </w:r>
        <w:r w:rsidR="00AE207F">
          <w:fldChar w:fldCharType="begin"/>
        </w:r>
        <w:r w:rsidR="00AE207F">
          <w:instrText>PAGE   \* MERGEFORMAT</w:instrText>
        </w:r>
        <w:r w:rsidR="00AE207F">
          <w:fldChar w:fldCharType="separate"/>
        </w:r>
        <w:r w:rsidR="0012690F">
          <w:rPr>
            <w:noProof/>
          </w:rPr>
          <w:t>2</w:t>
        </w:r>
        <w:r w:rsidR="00AE207F">
          <w:fldChar w:fldCharType="end"/>
        </w:r>
      </w:p>
    </w:sdtContent>
  </w:sdt>
  <w:p w:rsidR="00AE207F" w:rsidRDefault="00AE207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1869" w:rsidRDefault="00971869" w:rsidP="00951A3C">
      <w:pPr>
        <w:spacing w:after="0" w:line="240" w:lineRule="auto"/>
      </w:pPr>
      <w:r>
        <w:separator/>
      </w:r>
    </w:p>
  </w:footnote>
  <w:footnote w:type="continuationSeparator" w:id="0">
    <w:p w:rsidR="00971869" w:rsidRDefault="00971869" w:rsidP="00951A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hybridMultilevel"/>
    <w:tmpl w:val="3006C83E"/>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11"/>
    <w:multiLevelType w:val="hybridMultilevel"/>
    <w:tmpl w:val="440BADFC"/>
    <w:lvl w:ilvl="0" w:tplc="FFFFFFFF">
      <w:start w:val="3"/>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12"/>
    <w:multiLevelType w:val="hybridMultilevel"/>
    <w:tmpl w:val="05072366"/>
    <w:lvl w:ilvl="0" w:tplc="FFFFFFFF">
      <w:start w:val="3"/>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13"/>
    <w:multiLevelType w:val="hybridMultilevel"/>
    <w:tmpl w:val="3804823E"/>
    <w:lvl w:ilvl="0" w:tplc="FFFFFFFF">
      <w:start w:val="1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14"/>
    <w:multiLevelType w:val="hybridMultilevel"/>
    <w:tmpl w:val="77465F00"/>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17"/>
    <w:multiLevelType w:val="hybridMultilevel"/>
    <w:tmpl w:val="2463B9EA"/>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1C"/>
    <w:multiLevelType w:val="hybridMultilevel"/>
    <w:tmpl w:val="153EA43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1D"/>
    <w:multiLevelType w:val="hybridMultilevel"/>
    <w:tmpl w:val="3855585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23"/>
    <w:multiLevelType w:val="hybridMultilevel"/>
    <w:tmpl w:val="2CD89A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24"/>
    <w:multiLevelType w:val="hybridMultilevel"/>
    <w:tmpl w:val="57E4CCAE"/>
    <w:lvl w:ilvl="0" w:tplc="FFFFFFFF">
      <w:start w:val="1"/>
      <w:numFmt w:val="decimal"/>
      <w:lvlText w:val="%1."/>
      <w:lvlJc w:val="left"/>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25"/>
    <w:multiLevelType w:val="hybridMultilevel"/>
    <w:tmpl w:val="7A6D8D3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26"/>
    <w:multiLevelType w:val="hybridMultilevel"/>
    <w:tmpl w:val="4B588F5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27"/>
    <w:multiLevelType w:val="hybridMultilevel"/>
    <w:tmpl w:val="542289E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29"/>
    <w:multiLevelType w:val="hybridMultilevel"/>
    <w:tmpl w:val="38437FD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2B"/>
    <w:multiLevelType w:val="hybridMultilevel"/>
    <w:tmpl w:val="32FFF90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00002E"/>
    <w:multiLevelType w:val="hybridMultilevel"/>
    <w:tmpl w:val="749ABB4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00000030"/>
    <w:multiLevelType w:val="hybridMultilevel"/>
    <w:tmpl w:val="1BA026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00000031"/>
    <w:multiLevelType w:val="hybridMultilevel"/>
    <w:tmpl w:val="79A1DEA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00000032"/>
    <w:multiLevelType w:val="hybridMultilevel"/>
    <w:tmpl w:val="75C6C33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15:restartNumberingAfterBreak="0">
    <w:nsid w:val="00000033"/>
    <w:multiLevelType w:val="hybridMultilevel"/>
    <w:tmpl w:val="12E685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15:restartNumberingAfterBreak="0">
    <w:nsid w:val="00000034"/>
    <w:multiLevelType w:val="hybridMultilevel"/>
    <w:tmpl w:val="70C6A52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0000035"/>
    <w:multiLevelType w:val="hybridMultilevel"/>
    <w:tmpl w:val="520EEDD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15:restartNumberingAfterBreak="0">
    <w:nsid w:val="00000036"/>
    <w:multiLevelType w:val="hybridMultilevel"/>
    <w:tmpl w:val="374A3FE6"/>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15:restartNumberingAfterBreak="0">
    <w:nsid w:val="04902732"/>
    <w:multiLevelType w:val="hybridMultilevel"/>
    <w:tmpl w:val="3FE8FEBC"/>
    <w:lvl w:ilvl="0" w:tplc="AECA0272">
      <w:start w:val="1"/>
      <w:numFmt w:val="decimal"/>
      <w:lvlText w:val="%1."/>
      <w:lvlJc w:val="left"/>
      <w:pPr>
        <w:ind w:left="720" w:hanging="360"/>
      </w:pPr>
      <w:rPr>
        <w:rFonts w:cstheme="minorBidi" w:hint="default"/>
        <w:color w:val="auto"/>
        <w:sz w:val="23"/>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0703259B"/>
    <w:multiLevelType w:val="hybridMultilevel"/>
    <w:tmpl w:val="05DE55B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0B4B747F"/>
    <w:multiLevelType w:val="hybridMultilevel"/>
    <w:tmpl w:val="509E0DA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0E004676"/>
    <w:multiLevelType w:val="hybridMultilevel"/>
    <w:tmpl w:val="ABA08B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0FDA52DB"/>
    <w:multiLevelType w:val="hybridMultilevel"/>
    <w:tmpl w:val="F4F6446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2CF3EAB"/>
    <w:multiLevelType w:val="hybridMultilevel"/>
    <w:tmpl w:val="704A2D9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14DF6854"/>
    <w:multiLevelType w:val="hybridMultilevel"/>
    <w:tmpl w:val="7C66B5D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18C61BD4"/>
    <w:multiLevelType w:val="hybridMultilevel"/>
    <w:tmpl w:val="10FCE3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45F74806"/>
    <w:multiLevelType w:val="hybridMultilevel"/>
    <w:tmpl w:val="14126096"/>
    <w:lvl w:ilvl="0" w:tplc="6518B5E8">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2" w15:restartNumberingAfterBreak="0">
    <w:nsid w:val="4EC2357D"/>
    <w:multiLevelType w:val="hybridMultilevel"/>
    <w:tmpl w:val="A10255EC"/>
    <w:lvl w:ilvl="0" w:tplc="2E6E990A">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3" w15:restartNumberingAfterBreak="0">
    <w:nsid w:val="51A7498B"/>
    <w:multiLevelType w:val="hybridMultilevel"/>
    <w:tmpl w:val="BB542C2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0810699"/>
    <w:multiLevelType w:val="hybridMultilevel"/>
    <w:tmpl w:val="7B04C7FA"/>
    <w:lvl w:ilvl="0" w:tplc="3648D5B0">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5" w15:restartNumberingAfterBreak="0">
    <w:nsid w:val="659C5308"/>
    <w:multiLevelType w:val="hybridMultilevel"/>
    <w:tmpl w:val="CCA429C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681710FF"/>
    <w:multiLevelType w:val="hybridMultilevel"/>
    <w:tmpl w:val="BB7AE1F4"/>
    <w:lvl w:ilvl="0" w:tplc="0C0A0019">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692E47A8"/>
    <w:multiLevelType w:val="hybridMultilevel"/>
    <w:tmpl w:val="A2BE0466"/>
    <w:lvl w:ilvl="0" w:tplc="9F4E02B2">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8" w15:restartNumberingAfterBreak="0">
    <w:nsid w:val="6BFC61B4"/>
    <w:multiLevelType w:val="hybridMultilevel"/>
    <w:tmpl w:val="153A935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77B4171A"/>
    <w:multiLevelType w:val="hybridMultilevel"/>
    <w:tmpl w:val="132E54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78645919"/>
    <w:multiLevelType w:val="hybridMultilevel"/>
    <w:tmpl w:val="55E0CC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4"/>
  </w:num>
  <w:num w:numId="2">
    <w:abstractNumId w:val="0"/>
  </w:num>
  <w:num w:numId="3">
    <w:abstractNumId w:val="39"/>
  </w:num>
  <w:num w:numId="4">
    <w:abstractNumId w:val="30"/>
  </w:num>
  <w:num w:numId="5">
    <w:abstractNumId w:val="38"/>
  </w:num>
  <w:num w:numId="6">
    <w:abstractNumId w:val="1"/>
  </w:num>
  <w:num w:numId="7">
    <w:abstractNumId w:val="36"/>
  </w:num>
  <w:num w:numId="8">
    <w:abstractNumId w:val="29"/>
  </w:num>
  <w:num w:numId="9">
    <w:abstractNumId w:val="33"/>
  </w:num>
  <w:num w:numId="10">
    <w:abstractNumId w:val="2"/>
  </w:num>
  <w:num w:numId="11">
    <w:abstractNumId w:val="35"/>
  </w:num>
  <w:num w:numId="12">
    <w:abstractNumId w:val="3"/>
  </w:num>
  <w:num w:numId="13">
    <w:abstractNumId w:val="5"/>
  </w:num>
  <w:num w:numId="14">
    <w:abstractNumId w:val="4"/>
  </w:num>
  <w:num w:numId="15">
    <w:abstractNumId w:val="25"/>
  </w:num>
  <w:num w:numId="16">
    <w:abstractNumId w:val="28"/>
  </w:num>
  <w:num w:numId="17">
    <w:abstractNumId w:val="27"/>
  </w:num>
  <w:num w:numId="18">
    <w:abstractNumId w:val="6"/>
  </w:num>
  <w:num w:numId="19">
    <w:abstractNumId w:val="23"/>
  </w:num>
  <w:num w:numId="20">
    <w:abstractNumId w:val="7"/>
  </w:num>
  <w:num w:numId="21">
    <w:abstractNumId w:val="40"/>
  </w:num>
  <w:num w:numId="22">
    <w:abstractNumId w:val="8"/>
  </w:num>
  <w:num w:numId="23">
    <w:abstractNumId w:val="9"/>
  </w:num>
  <w:num w:numId="24">
    <w:abstractNumId w:val="10"/>
  </w:num>
  <w:num w:numId="25">
    <w:abstractNumId w:val="11"/>
  </w:num>
  <w:num w:numId="26">
    <w:abstractNumId w:val="12"/>
  </w:num>
  <w:num w:numId="27">
    <w:abstractNumId w:val="13"/>
  </w:num>
  <w:num w:numId="28">
    <w:abstractNumId w:val="14"/>
  </w:num>
  <w:num w:numId="29">
    <w:abstractNumId w:val="15"/>
  </w:num>
  <w:num w:numId="30">
    <w:abstractNumId w:val="16"/>
  </w:num>
  <w:num w:numId="31">
    <w:abstractNumId w:val="17"/>
  </w:num>
  <w:num w:numId="32">
    <w:abstractNumId w:val="18"/>
  </w:num>
  <w:num w:numId="33">
    <w:abstractNumId w:val="19"/>
  </w:num>
  <w:num w:numId="34">
    <w:abstractNumId w:val="20"/>
  </w:num>
  <w:num w:numId="35">
    <w:abstractNumId w:val="21"/>
  </w:num>
  <w:num w:numId="36">
    <w:abstractNumId w:val="22"/>
  </w:num>
  <w:num w:numId="37">
    <w:abstractNumId w:val="26"/>
  </w:num>
  <w:num w:numId="38">
    <w:abstractNumId w:val="34"/>
  </w:num>
  <w:num w:numId="39">
    <w:abstractNumId w:val="37"/>
  </w:num>
  <w:num w:numId="40">
    <w:abstractNumId w:val="32"/>
  </w:num>
  <w:num w:numId="4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5BD"/>
    <w:rsid w:val="0000079B"/>
    <w:rsid w:val="000051B4"/>
    <w:rsid w:val="00007463"/>
    <w:rsid w:val="000277D7"/>
    <w:rsid w:val="000338A4"/>
    <w:rsid w:val="00044D53"/>
    <w:rsid w:val="00052975"/>
    <w:rsid w:val="00064634"/>
    <w:rsid w:val="000A0523"/>
    <w:rsid w:val="000B35F6"/>
    <w:rsid w:val="000C3B01"/>
    <w:rsid w:val="000C604B"/>
    <w:rsid w:val="000F41FF"/>
    <w:rsid w:val="000F6E81"/>
    <w:rsid w:val="00111131"/>
    <w:rsid w:val="0012426D"/>
    <w:rsid w:val="0012690F"/>
    <w:rsid w:val="00133028"/>
    <w:rsid w:val="001512C4"/>
    <w:rsid w:val="001664F3"/>
    <w:rsid w:val="001811F4"/>
    <w:rsid w:val="001823B4"/>
    <w:rsid w:val="001A1015"/>
    <w:rsid w:val="001A5B93"/>
    <w:rsid w:val="001B5A4D"/>
    <w:rsid w:val="001E0FFA"/>
    <w:rsid w:val="001E12FD"/>
    <w:rsid w:val="00204A4E"/>
    <w:rsid w:val="00227CE7"/>
    <w:rsid w:val="00245A23"/>
    <w:rsid w:val="0025164C"/>
    <w:rsid w:val="00251A92"/>
    <w:rsid w:val="00294A9F"/>
    <w:rsid w:val="002B3E66"/>
    <w:rsid w:val="002B5607"/>
    <w:rsid w:val="00306036"/>
    <w:rsid w:val="0031002C"/>
    <w:rsid w:val="00327D53"/>
    <w:rsid w:val="00386F8D"/>
    <w:rsid w:val="00387E73"/>
    <w:rsid w:val="003A0759"/>
    <w:rsid w:val="003A53E0"/>
    <w:rsid w:val="003A5B9E"/>
    <w:rsid w:val="003B6B02"/>
    <w:rsid w:val="003E0B75"/>
    <w:rsid w:val="003E456C"/>
    <w:rsid w:val="003F0034"/>
    <w:rsid w:val="00415D02"/>
    <w:rsid w:val="00421FE2"/>
    <w:rsid w:val="00432609"/>
    <w:rsid w:val="0045490C"/>
    <w:rsid w:val="00460500"/>
    <w:rsid w:val="00474DA5"/>
    <w:rsid w:val="00483910"/>
    <w:rsid w:val="00484F98"/>
    <w:rsid w:val="004E1107"/>
    <w:rsid w:val="004E69D8"/>
    <w:rsid w:val="005048E2"/>
    <w:rsid w:val="0051494D"/>
    <w:rsid w:val="0052055A"/>
    <w:rsid w:val="00554E16"/>
    <w:rsid w:val="00577D97"/>
    <w:rsid w:val="0058333F"/>
    <w:rsid w:val="0058741E"/>
    <w:rsid w:val="005A462E"/>
    <w:rsid w:val="005C731C"/>
    <w:rsid w:val="005F64D4"/>
    <w:rsid w:val="00614481"/>
    <w:rsid w:val="00632362"/>
    <w:rsid w:val="00632F89"/>
    <w:rsid w:val="00652F2E"/>
    <w:rsid w:val="0068177A"/>
    <w:rsid w:val="006A36FC"/>
    <w:rsid w:val="006B6B01"/>
    <w:rsid w:val="006F32AC"/>
    <w:rsid w:val="006F3412"/>
    <w:rsid w:val="00705B68"/>
    <w:rsid w:val="00735BD9"/>
    <w:rsid w:val="00784E07"/>
    <w:rsid w:val="00785EE2"/>
    <w:rsid w:val="0078768E"/>
    <w:rsid w:val="007A4A0B"/>
    <w:rsid w:val="007B627B"/>
    <w:rsid w:val="007E7A3E"/>
    <w:rsid w:val="007F3B3D"/>
    <w:rsid w:val="008004AF"/>
    <w:rsid w:val="0082758C"/>
    <w:rsid w:val="008B3F05"/>
    <w:rsid w:val="008B6974"/>
    <w:rsid w:val="008E2185"/>
    <w:rsid w:val="00916E7E"/>
    <w:rsid w:val="00951A3C"/>
    <w:rsid w:val="009545D9"/>
    <w:rsid w:val="009632F0"/>
    <w:rsid w:val="0097037C"/>
    <w:rsid w:val="00971869"/>
    <w:rsid w:val="0097262B"/>
    <w:rsid w:val="009864BF"/>
    <w:rsid w:val="00990D33"/>
    <w:rsid w:val="00993CB0"/>
    <w:rsid w:val="009A40A4"/>
    <w:rsid w:val="009A66FE"/>
    <w:rsid w:val="009A7276"/>
    <w:rsid w:val="009F6292"/>
    <w:rsid w:val="00A12AFC"/>
    <w:rsid w:val="00A226EB"/>
    <w:rsid w:val="00A75AF4"/>
    <w:rsid w:val="00A91B5E"/>
    <w:rsid w:val="00AB63A3"/>
    <w:rsid w:val="00AE207F"/>
    <w:rsid w:val="00AE3D76"/>
    <w:rsid w:val="00AF171C"/>
    <w:rsid w:val="00B1700B"/>
    <w:rsid w:val="00B376A6"/>
    <w:rsid w:val="00B515CC"/>
    <w:rsid w:val="00B56CF0"/>
    <w:rsid w:val="00B83333"/>
    <w:rsid w:val="00B8360C"/>
    <w:rsid w:val="00BA579E"/>
    <w:rsid w:val="00BA6327"/>
    <w:rsid w:val="00BB160C"/>
    <w:rsid w:val="00BD521B"/>
    <w:rsid w:val="00BE255D"/>
    <w:rsid w:val="00BE3864"/>
    <w:rsid w:val="00C00B3F"/>
    <w:rsid w:val="00C05116"/>
    <w:rsid w:val="00C251A4"/>
    <w:rsid w:val="00C258EC"/>
    <w:rsid w:val="00C30897"/>
    <w:rsid w:val="00C32FDB"/>
    <w:rsid w:val="00C479FE"/>
    <w:rsid w:val="00C571BD"/>
    <w:rsid w:val="00C7166A"/>
    <w:rsid w:val="00C7185F"/>
    <w:rsid w:val="00CA7BBA"/>
    <w:rsid w:val="00CB3AAB"/>
    <w:rsid w:val="00CC41F7"/>
    <w:rsid w:val="00CC4233"/>
    <w:rsid w:val="00D03AF7"/>
    <w:rsid w:val="00D05895"/>
    <w:rsid w:val="00D36D42"/>
    <w:rsid w:val="00D43CB7"/>
    <w:rsid w:val="00D52309"/>
    <w:rsid w:val="00D62308"/>
    <w:rsid w:val="00D74E06"/>
    <w:rsid w:val="00D8664B"/>
    <w:rsid w:val="00DF0F3A"/>
    <w:rsid w:val="00DF113C"/>
    <w:rsid w:val="00E37C7C"/>
    <w:rsid w:val="00E47EC1"/>
    <w:rsid w:val="00E54502"/>
    <w:rsid w:val="00E66919"/>
    <w:rsid w:val="00E74952"/>
    <w:rsid w:val="00E83591"/>
    <w:rsid w:val="00E875BD"/>
    <w:rsid w:val="00ED1F90"/>
    <w:rsid w:val="00ED7A9C"/>
    <w:rsid w:val="00EE4BF7"/>
    <w:rsid w:val="00F2569D"/>
    <w:rsid w:val="00F2715D"/>
    <w:rsid w:val="00F51873"/>
    <w:rsid w:val="00F81100"/>
    <w:rsid w:val="00F94EFB"/>
    <w:rsid w:val="00FB7E54"/>
    <w:rsid w:val="00FC4FB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37C49F"/>
  <w15:chartTrackingRefBased/>
  <w15:docId w15:val="{B95927A8-556E-4892-AD42-D9DA220FB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32FD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6B02"/>
    <w:pPr>
      <w:ind w:left="720"/>
      <w:contextualSpacing/>
    </w:pPr>
  </w:style>
  <w:style w:type="paragraph" w:styleId="Encabezado">
    <w:name w:val="header"/>
    <w:basedOn w:val="Normal"/>
    <w:link w:val="EncabezadoCar"/>
    <w:uiPriority w:val="99"/>
    <w:unhideWhenUsed/>
    <w:rsid w:val="00951A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51A3C"/>
  </w:style>
  <w:style w:type="paragraph" w:styleId="Piedepgina">
    <w:name w:val="footer"/>
    <w:basedOn w:val="Normal"/>
    <w:link w:val="PiedepginaCar"/>
    <w:uiPriority w:val="99"/>
    <w:unhideWhenUsed/>
    <w:rsid w:val="00951A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51A3C"/>
  </w:style>
  <w:style w:type="paragraph" w:styleId="Textodeglobo">
    <w:name w:val="Balloon Text"/>
    <w:basedOn w:val="Normal"/>
    <w:link w:val="TextodegloboCar"/>
    <w:uiPriority w:val="99"/>
    <w:semiHidden/>
    <w:unhideWhenUsed/>
    <w:rsid w:val="00A91B5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91B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4669704">
      <w:bodyDiv w:val="1"/>
      <w:marLeft w:val="0"/>
      <w:marRight w:val="0"/>
      <w:marTop w:val="0"/>
      <w:marBottom w:val="0"/>
      <w:divBdr>
        <w:top w:val="none" w:sz="0" w:space="0" w:color="auto"/>
        <w:left w:val="none" w:sz="0" w:space="0" w:color="auto"/>
        <w:bottom w:val="none" w:sz="0" w:space="0" w:color="auto"/>
        <w:right w:val="none" w:sz="0" w:space="0" w:color="auto"/>
      </w:divBdr>
    </w:div>
    <w:div w:id="4438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18CD46-9B4F-46AD-A78B-5D11134E1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Pages>
  <Words>495</Words>
  <Characters>2724</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Sanchez</dc:creator>
  <cp:keywords/>
  <dc:description/>
  <cp:lastModifiedBy>Jesus Sanchez</cp:lastModifiedBy>
  <cp:revision>68</cp:revision>
  <cp:lastPrinted>2016-12-12T10:47:00Z</cp:lastPrinted>
  <dcterms:created xsi:type="dcterms:W3CDTF">2016-12-02T12:01:00Z</dcterms:created>
  <dcterms:modified xsi:type="dcterms:W3CDTF">2017-02-22T08:15:00Z</dcterms:modified>
</cp:coreProperties>
</file>