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571D0" w14:textId="7015D54A" w:rsidR="002D3DA9" w:rsidRPr="00542746" w:rsidRDefault="004D6F80" w:rsidP="00FB6316">
      <w:pPr>
        <w:spacing w:before="120" w:after="120" w:line="240" w:lineRule="auto"/>
        <w:jc w:val="both"/>
        <w:rPr>
          <w:rFonts w:ascii="Calibri" w:eastAsia="Times New Roman" w:hAnsi="Calibri" w:cs="Calibri"/>
          <w:b/>
          <w:bCs/>
          <w:sz w:val="28"/>
          <w:szCs w:val="28"/>
          <w:lang w:val="es-ES_tradnl" w:eastAsia="es-ES"/>
        </w:rPr>
      </w:pPr>
      <w:r w:rsidRPr="00542746">
        <w:rPr>
          <w:rFonts w:ascii="Calibri" w:eastAsia="Times New Roman" w:hAnsi="Calibri" w:cs="Calibri"/>
          <w:b/>
          <w:bCs/>
          <w:sz w:val="28"/>
          <w:szCs w:val="28"/>
          <w:lang w:val="es-ES_tradnl" w:eastAsia="es-ES"/>
        </w:rPr>
        <w:t>DECRETO-LEY 2/2023, de 22 de noviembre, del Gobierno de Aragón, por el que se modif</w:t>
      </w:r>
      <w:r w:rsidR="00C309A6">
        <w:rPr>
          <w:rFonts w:ascii="Calibri" w:eastAsia="Times New Roman" w:hAnsi="Calibri" w:cs="Calibri"/>
          <w:b/>
          <w:bCs/>
          <w:sz w:val="28"/>
          <w:szCs w:val="28"/>
          <w:lang w:val="es-ES_tradnl" w:eastAsia="es-ES"/>
        </w:rPr>
        <w:t>i</w:t>
      </w:r>
      <w:r w:rsidRPr="00542746">
        <w:rPr>
          <w:rFonts w:ascii="Calibri" w:eastAsia="Times New Roman" w:hAnsi="Calibri" w:cs="Calibri"/>
          <w:b/>
          <w:bCs/>
          <w:sz w:val="28"/>
          <w:szCs w:val="28"/>
          <w:lang w:val="es-ES_tradnl" w:eastAsia="es-ES"/>
        </w:rPr>
        <w:t>ca la Ley 11/2023, de 30 de marzo, de uso estratégico de la contratación pública de la Comunidad Autónoma de Aragón.</w:t>
      </w:r>
    </w:p>
    <w:p w14:paraId="1E6C737D" w14:textId="77777777" w:rsidR="004D6F80" w:rsidRPr="004D6F80" w:rsidRDefault="004D6F80" w:rsidP="00FB6316">
      <w:pPr>
        <w:spacing w:before="120" w:after="120" w:line="240" w:lineRule="auto"/>
        <w:jc w:val="both"/>
        <w:rPr>
          <w:rFonts w:ascii="Calibri" w:eastAsia="Times New Roman" w:hAnsi="Calibri" w:cs="Calibri"/>
          <w:b/>
          <w:bCs/>
          <w:sz w:val="24"/>
          <w:szCs w:val="24"/>
          <w:lang w:val="es-ES_tradnl" w:eastAsia="es-ES"/>
        </w:rPr>
      </w:pPr>
    </w:p>
    <w:p w14:paraId="7B2C2727" w14:textId="77777777" w:rsidR="002D3DA9" w:rsidRDefault="00CC67DA" w:rsidP="00FB6316">
      <w:pPr>
        <w:spacing w:before="120" w:after="120" w:line="240" w:lineRule="auto"/>
        <w:jc w:val="both"/>
        <w:rPr>
          <w:rFonts w:ascii="Calibri" w:hAnsi="Calibri" w:cs="Calibri"/>
          <w:bCs/>
          <w:sz w:val="24"/>
          <w:szCs w:val="24"/>
        </w:rPr>
      </w:pPr>
      <w:r>
        <w:rPr>
          <w:rFonts w:ascii="Calibri" w:eastAsia="Times New Roman" w:hAnsi="Calibri" w:cs="Calibri"/>
          <w:sz w:val="24"/>
          <w:szCs w:val="24"/>
          <w:lang w:val="es-ES_tradnl" w:eastAsia="es-ES"/>
        </w:rPr>
        <w:t xml:space="preserve">En el Boletín Oficial de Aragón de 27 de noviembre de 2023 se ha publicado el Decreto-ley </w:t>
      </w:r>
      <w:r w:rsidRPr="00CC67DA">
        <w:rPr>
          <w:rFonts w:ascii="Calibri" w:eastAsia="Times New Roman" w:hAnsi="Calibri" w:cs="Calibri"/>
          <w:sz w:val="24"/>
          <w:szCs w:val="24"/>
          <w:lang w:val="es-ES_tradnl" w:eastAsia="es-ES"/>
        </w:rPr>
        <w:t>2/2023, de 22 de noviembre, del Gobierno de Aragón, por el que se modifica la Ley 11/2023, de 30 de marzo, de uso estratégico de la contratación pública de la Comunidad Autónoma de Aragón</w:t>
      </w:r>
      <w:r>
        <w:rPr>
          <w:rFonts w:ascii="Calibri" w:eastAsia="Times New Roman" w:hAnsi="Calibri" w:cs="Calibri"/>
          <w:sz w:val="24"/>
          <w:szCs w:val="24"/>
          <w:lang w:val="es-ES_tradnl" w:eastAsia="es-ES"/>
        </w:rPr>
        <w:t xml:space="preserve">. </w:t>
      </w:r>
    </w:p>
    <w:p w14:paraId="67E70744" w14:textId="77777777" w:rsidR="00CC67DA" w:rsidRDefault="00CC67DA" w:rsidP="00CC67DA">
      <w:pPr>
        <w:spacing w:before="120" w:after="120" w:line="240" w:lineRule="auto"/>
        <w:jc w:val="both"/>
        <w:rPr>
          <w:rFonts w:ascii="Calibri" w:eastAsia="Times New Roman" w:hAnsi="Calibri" w:cs="Calibri"/>
          <w:sz w:val="24"/>
          <w:szCs w:val="24"/>
          <w:lang w:val="es-ES_tradnl" w:eastAsia="es-ES"/>
        </w:rPr>
      </w:pPr>
      <w:r w:rsidRPr="00CC67DA">
        <w:rPr>
          <w:rFonts w:ascii="Calibri" w:eastAsia="Times New Roman" w:hAnsi="Calibri" w:cs="Calibri"/>
          <w:sz w:val="24"/>
          <w:szCs w:val="24"/>
          <w:lang w:val="es-ES_tradnl" w:eastAsia="es-ES"/>
        </w:rPr>
        <w:t>La Ley 11/2023, de 30 de marzo, de uso estratégico de la contratación pública de la Comunidad Autónoma de Aragón, invita a utilizar l</w:t>
      </w:r>
      <w:r w:rsidR="00A04529">
        <w:rPr>
          <w:rFonts w:ascii="Calibri" w:eastAsia="Times New Roman" w:hAnsi="Calibri" w:cs="Calibri"/>
          <w:sz w:val="24"/>
          <w:szCs w:val="24"/>
          <w:lang w:val="es-ES_tradnl" w:eastAsia="es-ES"/>
        </w:rPr>
        <w:t xml:space="preserve">a contratación pública como un instrumento para </w:t>
      </w:r>
      <w:r w:rsidRPr="00CC67DA">
        <w:rPr>
          <w:rFonts w:ascii="Calibri" w:eastAsia="Times New Roman" w:hAnsi="Calibri" w:cs="Calibri"/>
          <w:sz w:val="24"/>
          <w:szCs w:val="24"/>
          <w:lang w:val="es-ES_tradnl" w:eastAsia="es-ES"/>
        </w:rPr>
        <w:t>desarrollar políticas públicas de carácter medioambiental, social y de apoyo</w:t>
      </w:r>
      <w:r>
        <w:rPr>
          <w:rFonts w:ascii="Calibri" w:eastAsia="Times New Roman" w:hAnsi="Calibri" w:cs="Calibri"/>
          <w:sz w:val="24"/>
          <w:szCs w:val="24"/>
          <w:lang w:val="es-ES_tradnl" w:eastAsia="es-ES"/>
        </w:rPr>
        <w:t xml:space="preserve"> a la innovación y a las pymes. </w:t>
      </w:r>
      <w:r w:rsidRPr="00CC67DA">
        <w:rPr>
          <w:rFonts w:ascii="Calibri" w:eastAsia="Times New Roman" w:hAnsi="Calibri" w:cs="Calibri"/>
          <w:sz w:val="24"/>
          <w:szCs w:val="24"/>
          <w:lang w:val="es-ES_tradnl" w:eastAsia="es-ES"/>
        </w:rPr>
        <w:t>Si bien es una ley ambiciosa, su puesta en práctica ha demostrado presentar se</w:t>
      </w:r>
      <w:r w:rsidR="00294264">
        <w:rPr>
          <w:rFonts w:ascii="Calibri" w:eastAsia="Times New Roman" w:hAnsi="Calibri" w:cs="Calibri"/>
          <w:sz w:val="24"/>
          <w:szCs w:val="24"/>
          <w:lang w:val="es-ES_tradnl" w:eastAsia="es-ES"/>
        </w:rPr>
        <w:t xml:space="preserve">rias dificultades de aplicación, en parte por su defectuosa definición del ámbito subjetivo de aplicación, </w:t>
      </w:r>
      <w:r w:rsidR="000370EC">
        <w:rPr>
          <w:rFonts w:ascii="Calibri" w:eastAsia="Times New Roman" w:hAnsi="Calibri" w:cs="Calibri"/>
          <w:sz w:val="24"/>
          <w:szCs w:val="24"/>
          <w:lang w:val="es-ES_tradnl" w:eastAsia="es-ES"/>
        </w:rPr>
        <w:t xml:space="preserve">y en parte porque determinados poderes adjudicadores, por su propia naturaleza o </w:t>
      </w:r>
      <w:r w:rsidRPr="00CC67DA">
        <w:rPr>
          <w:rFonts w:ascii="Calibri" w:eastAsia="Times New Roman" w:hAnsi="Calibri" w:cs="Calibri"/>
          <w:sz w:val="24"/>
          <w:szCs w:val="24"/>
          <w:lang w:val="es-ES_tradnl" w:eastAsia="es-ES"/>
        </w:rPr>
        <w:t xml:space="preserve">por cuestiones organizativas, se ven imposibilitados para hacer efectivas las exigencias requeridas por la norma. </w:t>
      </w:r>
    </w:p>
    <w:p w14:paraId="250E9E89" w14:textId="77777777" w:rsidR="00B77FE8" w:rsidRPr="00CC67DA" w:rsidRDefault="00B77FE8" w:rsidP="00B77FE8">
      <w:pPr>
        <w:spacing w:before="120" w:after="120" w:line="240" w:lineRule="auto"/>
        <w:jc w:val="both"/>
        <w:rPr>
          <w:rFonts w:ascii="Calibri" w:eastAsia="Times New Roman" w:hAnsi="Calibri" w:cs="Calibri"/>
          <w:sz w:val="24"/>
          <w:szCs w:val="24"/>
          <w:lang w:val="es-ES_tradnl" w:eastAsia="es-ES"/>
        </w:rPr>
      </w:pPr>
      <w:r>
        <w:rPr>
          <w:rFonts w:ascii="Calibri" w:eastAsia="Times New Roman" w:hAnsi="Calibri" w:cs="Calibri"/>
          <w:sz w:val="24"/>
          <w:szCs w:val="24"/>
          <w:lang w:val="es-ES_tradnl" w:eastAsia="es-ES"/>
        </w:rPr>
        <w:t xml:space="preserve">En cuanto a su ámbito subjetivo de aplicación, </w:t>
      </w:r>
      <w:r w:rsidRPr="00B77FE8">
        <w:rPr>
          <w:rFonts w:ascii="Calibri" w:eastAsia="Times New Roman" w:hAnsi="Calibri" w:cs="Calibri"/>
          <w:sz w:val="24"/>
          <w:szCs w:val="24"/>
          <w:u w:val="single"/>
          <w:lang w:val="es-ES_tradnl" w:eastAsia="es-ES"/>
        </w:rPr>
        <w:t>se restringe a los entes del sector público autonómico y local de la Comunidad Autónoma de Aragón que tengan la condición de poder adjudicador</w:t>
      </w:r>
      <w:r>
        <w:rPr>
          <w:rFonts w:ascii="Calibri" w:eastAsia="Times New Roman" w:hAnsi="Calibri" w:cs="Calibri"/>
          <w:sz w:val="24"/>
          <w:szCs w:val="24"/>
          <w:lang w:val="es-ES_tradnl" w:eastAsia="es-ES"/>
        </w:rPr>
        <w:t>, quedando fuera el resto de las entidades del sector público.</w:t>
      </w:r>
    </w:p>
    <w:p w14:paraId="3CE4B7A6" w14:textId="77777777" w:rsidR="00722F0C" w:rsidRDefault="00722F0C" w:rsidP="00CC67DA">
      <w:pPr>
        <w:spacing w:before="120" w:after="120" w:line="240" w:lineRule="auto"/>
        <w:jc w:val="both"/>
        <w:rPr>
          <w:rFonts w:ascii="Calibri" w:eastAsia="Times New Roman" w:hAnsi="Calibri" w:cs="Calibri"/>
          <w:sz w:val="24"/>
          <w:szCs w:val="24"/>
          <w:lang w:val="es-ES_tradnl" w:eastAsia="es-ES"/>
        </w:rPr>
      </w:pPr>
      <w:r>
        <w:rPr>
          <w:rFonts w:ascii="Calibri" w:eastAsia="Times New Roman" w:hAnsi="Calibri" w:cs="Calibri"/>
          <w:sz w:val="24"/>
          <w:szCs w:val="24"/>
          <w:lang w:val="es-ES_tradnl" w:eastAsia="es-ES"/>
        </w:rPr>
        <w:t>Por lo que respecta específicamente al ámbito local</w:t>
      </w:r>
      <w:r w:rsidR="00CC67DA" w:rsidRPr="00CC67DA">
        <w:rPr>
          <w:rFonts w:ascii="Calibri" w:eastAsia="Times New Roman" w:hAnsi="Calibri" w:cs="Calibri"/>
          <w:sz w:val="24"/>
          <w:szCs w:val="24"/>
          <w:lang w:val="es-ES_tradnl" w:eastAsia="es-ES"/>
        </w:rPr>
        <w:t>, la aplicación obligatoria de algunos preceptos resulta</w:t>
      </w:r>
      <w:r>
        <w:rPr>
          <w:rFonts w:ascii="Calibri" w:eastAsia="Times New Roman" w:hAnsi="Calibri" w:cs="Calibri"/>
          <w:sz w:val="24"/>
          <w:szCs w:val="24"/>
          <w:lang w:val="es-ES_tradnl" w:eastAsia="es-ES"/>
        </w:rPr>
        <w:t>ba</w:t>
      </w:r>
      <w:r w:rsidR="00CC67DA" w:rsidRPr="00CC67DA">
        <w:rPr>
          <w:rFonts w:ascii="Calibri" w:eastAsia="Times New Roman" w:hAnsi="Calibri" w:cs="Calibri"/>
          <w:sz w:val="24"/>
          <w:szCs w:val="24"/>
          <w:lang w:val="es-ES_tradnl" w:eastAsia="es-ES"/>
        </w:rPr>
        <w:t xml:space="preserve"> inviable en los municipios de menor tamaño, por lo que se modifican, acotando su aplicación, los artículo</w:t>
      </w:r>
      <w:r w:rsidR="00384313">
        <w:rPr>
          <w:rFonts w:ascii="Calibri" w:eastAsia="Times New Roman" w:hAnsi="Calibri" w:cs="Calibri"/>
          <w:sz w:val="24"/>
          <w:szCs w:val="24"/>
          <w:lang w:val="es-ES_tradnl" w:eastAsia="es-ES"/>
        </w:rPr>
        <w:t>s 24 y 94.</w:t>
      </w:r>
    </w:p>
    <w:p w14:paraId="2D6638E4" w14:textId="77777777" w:rsidR="00CC67DA" w:rsidRPr="00CC67DA" w:rsidRDefault="00384313" w:rsidP="00CC67DA">
      <w:pPr>
        <w:spacing w:before="120" w:after="120" w:line="240" w:lineRule="auto"/>
        <w:jc w:val="both"/>
        <w:rPr>
          <w:rFonts w:ascii="Calibri" w:eastAsia="Times New Roman" w:hAnsi="Calibri" w:cs="Calibri"/>
          <w:sz w:val="24"/>
          <w:szCs w:val="24"/>
          <w:lang w:val="es-ES_tradnl" w:eastAsia="es-ES"/>
        </w:rPr>
      </w:pPr>
      <w:r>
        <w:rPr>
          <w:rFonts w:ascii="Calibri" w:eastAsia="Times New Roman" w:hAnsi="Calibri" w:cs="Calibri"/>
          <w:sz w:val="24"/>
          <w:szCs w:val="24"/>
          <w:lang w:val="es-ES_tradnl" w:eastAsia="es-ES"/>
        </w:rPr>
        <w:t>El artículo 24 imponía</w:t>
      </w:r>
      <w:r w:rsidR="00CC67DA" w:rsidRPr="00CC67DA">
        <w:rPr>
          <w:rFonts w:ascii="Calibri" w:eastAsia="Times New Roman" w:hAnsi="Calibri" w:cs="Calibri"/>
          <w:sz w:val="24"/>
          <w:szCs w:val="24"/>
          <w:lang w:val="es-ES_tradnl" w:eastAsia="es-ES"/>
        </w:rPr>
        <w:t xml:space="preserve"> la obligación de elaborar catálogos de cláusulas sociales, ambientales e innovadoras al órgano que tenga atribuida la competencia en materia de contratación pública en los entes locales. Es razonable imponer esta obligación solo a la dirección general competente en materia de contratación pública, y que </w:t>
      </w:r>
      <w:r w:rsidR="00CC67DA" w:rsidRPr="00B77FE8">
        <w:rPr>
          <w:rFonts w:ascii="Calibri" w:eastAsia="Times New Roman" w:hAnsi="Calibri" w:cs="Calibri"/>
          <w:sz w:val="24"/>
          <w:szCs w:val="24"/>
          <w:u w:val="single"/>
          <w:lang w:val="es-ES_tradnl" w:eastAsia="es-ES"/>
        </w:rPr>
        <w:t>los entes locales puedan elaborar sus propios catálogos</w:t>
      </w:r>
      <w:r w:rsidR="00F41768">
        <w:rPr>
          <w:rFonts w:ascii="Calibri" w:eastAsia="Times New Roman" w:hAnsi="Calibri" w:cs="Calibri"/>
          <w:sz w:val="24"/>
          <w:szCs w:val="24"/>
          <w:u w:val="single"/>
          <w:lang w:val="es-ES_tradnl" w:eastAsia="es-ES"/>
        </w:rPr>
        <w:t xml:space="preserve"> de cláusulas sociales, ambientales y de innovación</w:t>
      </w:r>
      <w:r w:rsidR="00722F0C" w:rsidRPr="00B77FE8">
        <w:rPr>
          <w:rFonts w:ascii="Calibri" w:eastAsia="Times New Roman" w:hAnsi="Calibri" w:cs="Calibri"/>
          <w:sz w:val="24"/>
          <w:szCs w:val="24"/>
          <w:u w:val="single"/>
          <w:lang w:val="es-ES_tradnl" w:eastAsia="es-ES"/>
        </w:rPr>
        <w:t xml:space="preserve"> solo </w:t>
      </w:r>
      <w:r w:rsidR="00CC67DA" w:rsidRPr="00B77FE8">
        <w:rPr>
          <w:rFonts w:ascii="Calibri" w:eastAsia="Times New Roman" w:hAnsi="Calibri" w:cs="Calibri"/>
          <w:sz w:val="24"/>
          <w:szCs w:val="24"/>
          <w:u w:val="single"/>
          <w:lang w:val="es-ES_tradnl" w:eastAsia="es-ES"/>
        </w:rPr>
        <w:t>si lo consideran necesario</w:t>
      </w:r>
      <w:r>
        <w:rPr>
          <w:rFonts w:ascii="Calibri" w:eastAsia="Times New Roman" w:hAnsi="Calibri" w:cs="Calibri"/>
          <w:sz w:val="24"/>
          <w:szCs w:val="24"/>
          <w:lang w:val="es-ES_tradnl" w:eastAsia="es-ES"/>
        </w:rPr>
        <w:t>,</w:t>
      </w:r>
      <w:r w:rsidR="00CC67DA" w:rsidRPr="00CC67DA">
        <w:rPr>
          <w:rFonts w:ascii="Calibri" w:eastAsia="Times New Roman" w:hAnsi="Calibri" w:cs="Calibri"/>
          <w:sz w:val="24"/>
          <w:szCs w:val="24"/>
          <w:lang w:val="es-ES_tradnl" w:eastAsia="es-ES"/>
        </w:rPr>
        <w:t xml:space="preserve"> o tomar en consideración los que aprueben otras administraciones.</w:t>
      </w:r>
    </w:p>
    <w:p w14:paraId="45A157A6" w14:textId="77777777" w:rsidR="00CC67DA" w:rsidRPr="00CC67DA" w:rsidRDefault="00CC67DA" w:rsidP="00CC67DA">
      <w:pPr>
        <w:spacing w:before="120" w:after="120" w:line="240" w:lineRule="auto"/>
        <w:jc w:val="both"/>
        <w:rPr>
          <w:rFonts w:ascii="Calibri" w:eastAsia="Times New Roman" w:hAnsi="Calibri" w:cs="Calibri"/>
          <w:sz w:val="24"/>
          <w:szCs w:val="24"/>
          <w:lang w:val="es-ES_tradnl" w:eastAsia="es-ES"/>
        </w:rPr>
      </w:pPr>
      <w:r w:rsidRPr="00CC67DA">
        <w:rPr>
          <w:rFonts w:ascii="Calibri" w:eastAsia="Times New Roman" w:hAnsi="Calibri" w:cs="Calibri"/>
          <w:sz w:val="24"/>
          <w:szCs w:val="24"/>
          <w:lang w:val="es-ES_tradnl" w:eastAsia="es-ES"/>
        </w:rPr>
        <w:t>El artículo 94 ha causado graves problemas de gestión en las entidades locales más pequeñas, al exigir que en aquellos procedimientos en que la constitución de la mesa de contratación sea potestativa, el órgano de contratación contará con la asistencia de una unidad técnica compuesta, al menos, por tres miembr</w:t>
      </w:r>
      <w:r w:rsidR="00F41768">
        <w:rPr>
          <w:rFonts w:ascii="Calibri" w:eastAsia="Times New Roman" w:hAnsi="Calibri" w:cs="Calibri"/>
          <w:sz w:val="24"/>
          <w:szCs w:val="24"/>
          <w:lang w:val="es-ES_tradnl" w:eastAsia="es-ES"/>
        </w:rPr>
        <w:t xml:space="preserve">os. Por ello, </w:t>
      </w:r>
      <w:r w:rsidR="00F41768" w:rsidRPr="00F41768">
        <w:rPr>
          <w:rFonts w:ascii="Calibri" w:eastAsia="Times New Roman" w:hAnsi="Calibri" w:cs="Calibri"/>
          <w:sz w:val="24"/>
          <w:szCs w:val="24"/>
          <w:u w:val="single"/>
          <w:lang w:val="es-ES_tradnl" w:eastAsia="es-ES"/>
        </w:rPr>
        <w:t>se restringe l</w:t>
      </w:r>
      <w:r w:rsidRPr="00F41768">
        <w:rPr>
          <w:rFonts w:ascii="Calibri" w:eastAsia="Times New Roman" w:hAnsi="Calibri" w:cs="Calibri"/>
          <w:sz w:val="24"/>
          <w:szCs w:val="24"/>
          <w:u w:val="single"/>
          <w:lang w:val="es-ES_tradnl" w:eastAsia="es-ES"/>
        </w:rPr>
        <w:t xml:space="preserve">a obligación </w:t>
      </w:r>
      <w:r w:rsidR="00F41768" w:rsidRPr="00F41768">
        <w:rPr>
          <w:rFonts w:ascii="Calibri" w:eastAsia="Times New Roman" w:hAnsi="Calibri" w:cs="Calibri"/>
          <w:sz w:val="24"/>
          <w:szCs w:val="24"/>
          <w:u w:val="single"/>
          <w:lang w:val="es-ES_tradnl" w:eastAsia="es-ES"/>
        </w:rPr>
        <w:t xml:space="preserve">de constituir unidad técnica </w:t>
      </w:r>
      <w:r w:rsidRPr="00F41768">
        <w:rPr>
          <w:rFonts w:ascii="Calibri" w:eastAsia="Times New Roman" w:hAnsi="Calibri" w:cs="Calibri"/>
          <w:sz w:val="24"/>
          <w:szCs w:val="24"/>
          <w:u w:val="single"/>
          <w:lang w:val="es-ES_tradnl" w:eastAsia="es-ES"/>
        </w:rPr>
        <w:t>a la Administración de la Comunidad Autónoma y su sector público</w:t>
      </w:r>
      <w:r w:rsidRPr="00CC67DA">
        <w:rPr>
          <w:rFonts w:ascii="Calibri" w:eastAsia="Times New Roman" w:hAnsi="Calibri" w:cs="Calibri"/>
          <w:sz w:val="24"/>
          <w:szCs w:val="24"/>
          <w:lang w:val="es-ES_tradnl" w:eastAsia="es-ES"/>
        </w:rPr>
        <w:t>. Ello no impide que las entidades locales que lo consideren adecuado puedan seguir esta buena práctica ligada a los principios de integridad y buena administración.</w:t>
      </w:r>
    </w:p>
    <w:p w14:paraId="59AC4675" w14:textId="77777777" w:rsidR="00CC67DA" w:rsidRPr="00CC67DA" w:rsidRDefault="00CC67DA" w:rsidP="00CC67DA">
      <w:pPr>
        <w:spacing w:before="120" w:after="120" w:line="240" w:lineRule="auto"/>
        <w:jc w:val="both"/>
        <w:rPr>
          <w:rFonts w:ascii="Calibri" w:eastAsia="Times New Roman" w:hAnsi="Calibri" w:cs="Calibri"/>
          <w:sz w:val="24"/>
          <w:szCs w:val="24"/>
          <w:lang w:val="es-ES_tradnl" w:eastAsia="es-ES"/>
        </w:rPr>
      </w:pPr>
      <w:r w:rsidRPr="00CC67DA">
        <w:rPr>
          <w:rFonts w:ascii="Calibri" w:eastAsia="Times New Roman" w:hAnsi="Calibri" w:cs="Calibri"/>
          <w:sz w:val="24"/>
          <w:szCs w:val="24"/>
          <w:lang w:val="es-ES_tradnl" w:eastAsia="es-ES"/>
        </w:rPr>
        <w:t xml:space="preserve">En las entidades locales de menor tamaño ya resulta difícil conformar las mesas de contratación obligatorias, debiendo acudir a la colaboración de Diputaciones Provinciales y Comarcas para cumplir con las exigencias legales. En los procedimientos que no exigen mesa de contratación que, en general, son aquellos de menor cuantía como el procedimiento simplificado abreviado del artículo 159.6 de la Ley 9/2017, obligarles a constituir una unidad técnica compuesta por al menos tres miembros, puede suponer una ralentización enorme de los procedimientos, por eso es mejor que dicha </w:t>
      </w:r>
      <w:r w:rsidRPr="00CC67DA">
        <w:rPr>
          <w:rFonts w:ascii="Calibri" w:eastAsia="Times New Roman" w:hAnsi="Calibri" w:cs="Calibri"/>
          <w:sz w:val="24"/>
          <w:szCs w:val="24"/>
          <w:lang w:val="es-ES_tradnl" w:eastAsia="es-ES"/>
        </w:rPr>
        <w:lastRenderedPageBreak/>
        <w:t>constitución sea optativa y cada órgano de contratación, valorando las circunstancias, decida sobre su constitución.</w:t>
      </w:r>
    </w:p>
    <w:p w14:paraId="4117D776" w14:textId="77777777" w:rsidR="00CC67DA" w:rsidRPr="00CC67DA" w:rsidRDefault="00CC67DA" w:rsidP="00CC67DA">
      <w:pPr>
        <w:spacing w:before="120" w:after="120" w:line="240" w:lineRule="auto"/>
        <w:jc w:val="both"/>
        <w:rPr>
          <w:rFonts w:ascii="Calibri" w:eastAsia="Times New Roman" w:hAnsi="Calibri" w:cs="Calibri"/>
          <w:sz w:val="24"/>
          <w:szCs w:val="24"/>
          <w:lang w:val="es-ES_tradnl" w:eastAsia="es-ES"/>
        </w:rPr>
      </w:pPr>
      <w:r w:rsidRPr="00CC67DA">
        <w:rPr>
          <w:rFonts w:ascii="Calibri" w:eastAsia="Times New Roman" w:hAnsi="Calibri" w:cs="Calibri"/>
          <w:sz w:val="24"/>
          <w:szCs w:val="24"/>
          <w:lang w:val="es-ES_tradnl" w:eastAsia="es-ES"/>
        </w:rPr>
        <w:t>Otras modificaciones obedecen al objetivo de lograr una mayor simplificación y mejora de los procedimientos de licitación.</w:t>
      </w:r>
    </w:p>
    <w:p w14:paraId="4AB1A55B" w14:textId="77777777" w:rsidR="00CC67DA" w:rsidRPr="002045DC" w:rsidRDefault="00722F0C" w:rsidP="00CC67DA">
      <w:pPr>
        <w:spacing w:before="120" w:after="120" w:line="240" w:lineRule="auto"/>
        <w:jc w:val="both"/>
        <w:rPr>
          <w:rFonts w:ascii="Calibri" w:eastAsia="Times New Roman" w:hAnsi="Calibri" w:cs="Calibri"/>
          <w:sz w:val="24"/>
          <w:szCs w:val="24"/>
          <w:lang w:val="es-ES_tradnl" w:eastAsia="es-ES"/>
        </w:rPr>
      </w:pPr>
      <w:r>
        <w:rPr>
          <w:rFonts w:ascii="Calibri" w:eastAsia="Times New Roman" w:hAnsi="Calibri" w:cs="Calibri"/>
          <w:sz w:val="24"/>
          <w:szCs w:val="24"/>
          <w:lang w:val="es-ES_tradnl" w:eastAsia="es-ES"/>
        </w:rPr>
        <w:t>E</w:t>
      </w:r>
      <w:r w:rsidR="00CC67DA" w:rsidRPr="00CC67DA">
        <w:rPr>
          <w:rFonts w:ascii="Calibri" w:eastAsia="Times New Roman" w:hAnsi="Calibri" w:cs="Calibri"/>
          <w:sz w:val="24"/>
          <w:szCs w:val="24"/>
          <w:lang w:val="es-ES_tradnl" w:eastAsia="es-ES"/>
        </w:rPr>
        <w:t xml:space="preserve">l artículo 37 </w:t>
      </w:r>
      <w:r w:rsidR="00B77FE8">
        <w:rPr>
          <w:rFonts w:ascii="Calibri" w:eastAsia="Times New Roman" w:hAnsi="Calibri" w:cs="Calibri"/>
          <w:sz w:val="24"/>
          <w:szCs w:val="24"/>
          <w:lang w:val="es-ES_tradnl" w:eastAsia="es-ES"/>
        </w:rPr>
        <w:t>está</w:t>
      </w:r>
      <w:r w:rsidR="00384313">
        <w:rPr>
          <w:rFonts w:ascii="Calibri" w:eastAsia="Times New Roman" w:hAnsi="Calibri" w:cs="Calibri"/>
          <w:sz w:val="24"/>
          <w:szCs w:val="24"/>
          <w:lang w:val="es-ES_tradnl" w:eastAsia="es-ES"/>
        </w:rPr>
        <w:t xml:space="preserve"> dedicado a </w:t>
      </w:r>
      <w:r w:rsidR="00CC67DA" w:rsidRPr="00CC67DA">
        <w:rPr>
          <w:rFonts w:ascii="Calibri" w:eastAsia="Times New Roman" w:hAnsi="Calibri" w:cs="Calibri"/>
          <w:sz w:val="24"/>
          <w:szCs w:val="24"/>
          <w:lang w:val="es-ES_tradnl" w:eastAsia="es-ES"/>
        </w:rPr>
        <w:t xml:space="preserve">la </w:t>
      </w:r>
      <w:r w:rsidR="00CC67DA" w:rsidRPr="00F41768">
        <w:rPr>
          <w:rFonts w:ascii="Calibri" w:eastAsia="Times New Roman" w:hAnsi="Calibri" w:cs="Calibri"/>
          <w:sz w:val="24"/>
          <w:szCs w:val="24"/>
          <w:u w:val="single"/>
          <w:lang w:val="es-ES_tradnl" w:eastAsia="es-ES"/>
        </w:rPr>
        <w:t>indemnidad de las condiciones laborales</w:t>
      </w:r>
      <w:r w:rsidR="00CC67DA" w:rsidRPr="00CC67DA">
        <w:rPr>
          <w:rFonts w:ascii="Calibri" w:eastAsia="Times New Roman" w:hAnsi="Calibri" w:cs="Calibri"/>
          <w:sz w:val="24"/>
          <w:szCs w:val="24"/>
          <w:lang w:val="es-ES_tradnl" w:eastAsia="es-ES"/>
        </w:rPr>
        <w:t xml:space="preserve">, pero esta obligación -mantener o mejorar las condiciones laborales de los trabajadores adscritos al contrato durante su ejecución - sólo puede aplicarse con efectividad a aquellos contratos </w:t>
      </w:r>
      <w:r w:rsidR="00CC67DA" w:rsidRPr="002045DC">
        <w:rPr>
          <w:rFonts w:ascii="Calibri" w:eastAsia="Times New Roman" w:hAnsi="Calibri" w:cs="Calibri"/>
          <w:sz w:val="24"/>
          <w:szCs w:val="24"/>
          <w:lang w:val="es-ES_tradnl" w:eastAsia="es-ES"/>
        </w:rPr>
        <w:t>de servicios en los que la ejecución de la prestación se efectúa por trabajadores empleados y puestos a disposición en exclusiva para ello, y no a cualquier contrato de obra o suministro.</w:t>
      </w:r>
    </w:p>
    <w:p w14:paraId="1C216595" w14:textId="77777777" w:rsidR="00807161" w:rsidRPr="002045DC" w:rsidRDefault="00807161" w:rsidP="00807161">
      <w:pPr>
        <w:spacing w:before="120" w:after="120" w:line="240" w:lineRule="auto"/>
        <w:jc w:val="both"/>
        <w:rPr>
          <w:rFonts w:ascii="Calibri" w:eastAsia="Times New Roman" w:hAnsi="Calibri" w:cs="Arial"/>
          <w:bCs/>
          <w:sz w:val="24"/>
          <w:szCs w:val="24"/>
          <w:lang w:val="es-ES_tradnl" w:eastAsia="es-ES"/>
        </w:rPr>
      </w:pPr>
      <w:r w:rsidRPr="002045DC">
        <w:rPr>
          <w:rFonts w:ascii="Calibri" w:eastAsia="Times New Roman" w:hAnsi="Calibri" w:cs="Arial"/>
          <w:bCs/>
          <w:sz w:val="24"/>
          <w:szCs w:val="24"/>
          <w:lang w:val="es-ES_tradnl" w:eastAsia="es-ES"/>
        </w:rPr>
        <w:t xml:space="preserve">El artículo 47 establecía que con carácter general el contratista podría, a su voluntad, </w:t>
      </w:r>
      <w:r w:rsidRPr="00F41768">
        <w:rPr>
          <w:rFonts w:ascii="Calibri" w:eastAsia="Times New Roman" w:hAnsi="Calibri" w:cs="Arial"/>
          <w:bCs/>
          <w:sz w:val="24"/>
          <w:szCs w:val="24"/>
          <w:u w:val="single"/>
          <w:lang w:val="es-ES_tradnl" w:eastAsia="es-ES"/>
        </w:rPr>
        <w:t>constituir la garantía definitiva como retención de precio</w:t>
      </w:r>
      <w:r w:rsidRPr="002045DC">
        <w:rPr>
          <w:rFonts w:ascii="Calibri" w:eastAsia="Times New Roman" w:hAnsi="Calibri" w:cs="Arial"/>
          <w:bCs/>
          <w:sz w:val="24"/>
          <w:szCs w:val="24"/>
          <w:lang w:val="es-ES_tradnl" w:eastAsia="es-ES"/>
        </w:rPr>
        <w:t xml:space="preserve">. Esto puede ser contrario a los intereses públicos si no se permite al órgano de contratación establecer excepciones, que es lo que recoge el Decreto-ley, teniendo en cuenta que la garantía definitiva responde de la formalización del contrato y del inicio de la ejecución en plazo, y en general de los daños que puede ocasionar el contratista por lo que hasta que no haya ejecutado al menos un 5% del contrato el órgano de contratación no tiene este respaldo. </w:t>
      </w:r>
    </w:p>
    <w:p w14:paraId="4842D095" w14:textId="77777777" w:rsidR="00807161" w:rsidRPr="002045DC" w:rsidRDefault="00807161" w:rsidP="00807161">
      <w:pPr>
        <w:spacing w:before="120" w:after="120" w:line="240" w:lineRule="auto"/>
        <w:jc w:val="both"/>
        <w:rPr>
          <w:rFonts w:ascii="Calibri" w:eastAsia="Times New Roman" w:hAnsi="Calibri" w:cs="Arial"/>
          <w:bCs/>
          <w:sz w:val="24"/>
          <w:szCs w:val="24"/>
          <w:lang w:val="es-ES_tradnl" w:eastAsia="es-ES"/>
        </w:rPr>
      </w:pPr>
      <w:r w:rsidRPr="002045DC">
        <w:rPr>
          <w:rFonts w:ascii="Calibri" w:eastAsia="Times New Roman" w:hAnsi="Calibri" w:cs="Arial"/>
          <w:bCs/>
          <w:sz w:val="24"/>
          <w:szCs w:val="24"/>
          <w:lang w:val="es-ES_tradnl" w:eastAsia="es-ES"/>
        </w:rPr>
        <w:t xml:space="preserve">El órgano de contratación tiene que tener la posibilidad, en aquellos supuestos en que el interés general exige que el contrato se formalice y se </w:t>
      </w:r>
      <w:r w:rsidR="002045DC" w:rsidRPr="002045DC">
        <w:rPr>
          <w:rFonts w:ascii="Calibri" w:eastAsia="Times New Roman" w:hAnsi="Calibri" w:cs="Arial"/>
          <w:bCs/>
          <w:sz w:val="24"/>
          <w:szCs w:val="24"/>
          <w:lang w:val="es-ES_tradnl" w:eastAsia="es-ES"/>
        </w:rPr>
        <w:t>inicie de forma inminente, de solicitar</w:t>
      </w:r>
      <w:r w:rsidRPr="002045DC">
        <w:rPr>
          <w:rFonts w:ascii="Calibri" w:eastAsia="Times New Roman" w:hAnsi="Calibri" w:cs="Arial"/>
          <w:bCs/>
          <w:sz w:val="24"/>
          <w:szCs w:val="24"/>
          <w:lang w:val="es-ES_tradnl" w:eastAsia="es-ES"/>
        </w:rPr>
        <w:t xml:space="preserve"> el depósito de la garantía definitiva en metálico o mediante aval o seguro de caución, de forma que la eventual incautación de la garantía definitiva en caso de incumplimiento de esos plazos empuje a cumplirlos.</w:t>
      </w:r>
    </w:p>
    <w:p w14:paraId="4648BA99" w14:textId="77777777" w:rsidR="00CC67DA" w:rsidRPr="00CC67DA" w:rsidRDefault="00807161" w:rsidP="00CC67DA">
      <w:pPr>
        <w:spacing w:before="120" w:after="120" w:line="240" w:lineRule="auto"/>
        <w:jc w:val="both"/>
        <w:rPr>
          <w:rFonts w:ascii="Calibri" w:eastAsia="Times New Roman" w:hAnsi="Calibri" w:cs="Calibri"/>
          <w:sz w:val="24"/>
          <w:szCs w:val="24"/>
          <w:lang w:val="es-ES_tradnl" w:eastAsia="es-ES"/>
        </w:rPr>
      </w:pPr>
      <w:r w:rsidRPr="002045DC">
        <w:rPr>
          <w:rFonts w:ascii="Calibri" w:eastAsia="Times New Roman" w:hAnsi="Calibri" w:cs="Arial"/>
          <w:bCs/>
          <w:sz w:val="24"/>
          <w:szCs w:val="24"/>
          <w:lang w:val="es-ES_tradnl" w:eastAsia="es-ES"/>
        </w:rPr>
        <w:t xml:space="preserve">Por su parte, la </w:t>
      </w:r>
      <w:r w:rsidR="002045DC" w:rsidRPr="002045DC">
        <w:rPr>
          <w:rFonts w:ascii="Calibri" w:eastAsia="Times New Roman" w:hAnsi="Calibri" w:cs="Arial"/>
          <w:bCs/>
          <w:sz w:val="24"/>
          <w:szCs w:val="24"/>
          <w:lang w:val="es-ES_tradnl" w:eastAsia="es-ES"/>
        </w:rPr>
        <w:t>disposición adicional duodécima</w:t>
      </w:r>
      <w:r w:rsidRPr="002045DC">
        <w:rPr>
          <w:rFonts w:ascii="Calibri" w:eastAsia="Times New Roman" w:hAnsi="Calibri" w:cs="Arial"/>
          <w:bCs/>
          <w:sz w:val="24"/>
          <w:szCs w:val="24"/>
          <w:lang w:val="es-ES_tradnl" w:eastAsia="es-ES"/>
        </w:rPr>
        <w:t xml:space="preserve"> establecía </w:t>
      </w:r>
      <w:r w:rsidR="00CC67DA" w:rsidRPr="002045DC">
        <w:rPr>
          <w:rFonts w:ascii="Calibri" w:eastAsia="Times New Roman" w:hAnsi="Calibri" w:cs="Calibri"/>
          <w:sz w:val="24"/>
          <w:szCs w:val="24"/>
          <w:lang w:val="es-ES_tradnl" w:eastAsia="es-ES"/>
        </w:rPr>
        <w:t xml:space="preserve">la </w:t>
      </w:r>
      <w:r w:rsidR="00CC67DA" w:rsidRPr="00CC67DA">
        <w:rPr>
          <w:rFonts w:ascii="Calibri" w:eastAsia="Times New Roman" w:hAnsi="Calibri" w:cs="Calibri"/>
          <w:sz w:val="24"/>
          <w:szCs w:val="24"/>
          <w:lang w:val="es-ES_tradnl" w:eastAsia="es-ES"/>
        </w:rPr>
        <w:t xml:space="preserve">necesidad de firmar un convenio con cada administración pública que precise </w:t>
      </w:r>
      <w:r w:rsidR="00CC67DA" w:rsidRPr="00F41768">
        <w:rPr>
          <w:rFonts w:ascii="Calibri" w:eastAsia="Times New Roman" w:hAnsi="Calibri" w:cs="Calibri"/>
          <w:sz w:val="24"/>
          <w:szCs w:val="24"/>
          <w:u w:val="single"/>
          <w:lang w:val="es-ES_tradnl" w:eastAsia="es-ES"/>
        </w:rPr>
        <w:t>acceder a la base de datos del Registro de Licitadores de la Comunidad Autónoma de Aragón</w:t>
      </w:r>
      <w:r w:rsidR="00CC67DA" w:rsidRPr="00CC67DA">
        <w:rPr>
          <w:rFonts w:ascii="Calibri" w:eastAsia="Times New Roman" w:hAnsi="Calibri" w:cs="Calibri"/>
          <w:sz w:val="24"/>
          <w:szCs w:val="24"/>
          <w:lang w:val="es-ES_tradnl" w:eastAsia="es-ES"/>
        </w:rPr>
        <w:t>. Pues bien, en aras de una mayor simplificación, se sustituye la firma de un convenio por una solicitud, que deberá ser aceptada por el Gobierno de Aragón y que facultará a esas otras Administraciones públicas a acceder a la mencionada base de datos.</w:t>
      </w:r>
    </w:p>
    <w:p w14:paraId="6F2B4A95" w14:textId="77777777" w:rsidR="00CC67DA" w:rsidRPr="00CC67DA" w:rsidRDefault="00CC67DA" w:rsidP="00CC67DA">
      <w:pPr>
        <w:spacing w:before="120" w:after="120" w:line="240" w:lineRule="auto"/>
        <w:jc w:val="both"/>
        <w:rPr>
          <w:rFonts w:ascii="Calibri" w:eastAsia="Times New Roman" w:hAnsi="Calibri" w:cs="Calibri"/>
          <w:sz w:val="24"/>
          <w:szCs w:val="24"/>
          <w:lang w:val="es-ES_tradnl" w:eastAsia="es-ES"/>
        </w:rPr>
      </w:pPr>
      <w:r w:rsidRPr="00CC67DA">
        <w:rPr>
          <w:rFonts w:ascii="Calibri" w:eastAsia="Times New Roman" w:hAnsi="Calibri" w:cs="Calibri"/>
          <w:sz w:val="24"/>
          <w:szCs w:val="24"/>
          <w:lang w:val="es-ES_tradnl" w:eastAsia="es-ES"/>
        </w:rPr>
        <w:t>En la práctica, la firma de un convenio –en concreto con cada una de las entidades locales interesadas en acceder a los datos del Registro, que son varias decenas- resulta desproporcionado y poco operativo. Basta con una mera solicitud que les habilitará para consultar la información. Esta modificación está en consonancia con el carácter del Registro de Licitadores de herramienta fundamental en la simplificación y agilización de los procedimientos de contratación.</w:t>
      </w:r>
    </w:p>
    <w:p w14:paraId="6AD92F83" w14:textId="77777777" w:rsidR="00B77FE8" w:rsidRDefault="00384313" w:rsidP="00CC67DA">
      <w:pPr>
        <w:spacing w:before="120" w:after="120" w:line="240" w:lineRule="auto"/>
        <w:jc w:val="both"/>
        <w:rPr>
          <w:rFonts w:ascii="Calibri" w:eastAsia="Times New Roman" w:hAnsi="Calibri" w:cs="Calibri"/>
          <w:sz w:val="24"/>
          <w:szCs w:val="24"/>
          <w:lang w:val="es-ES_tradnl" w:eastAsia="es-ES"/>
        </w:rPr>
      </w:pPr>
      <w:r>
        <w:rPr>
          <w:rFonts w:ascii="Calibri" w:eastAsia="Times New Roman" w:hAnsi="Calibri" w:cs="Calibri"/>
          <w:sz w:val="24"/>
          <w:szCs w:val="24"/>
          <w:lang w:val="es-ES_tradnl" w:eastAsia="es-ES"/>
        </w:rPr>
        <w:t xml:space="preserve">Finalmente, otras modificaciones están orientadas a </w:t>
      </w:r>
      <w:r w:rsidRPr="00384313">
        <w:rPr>
          <w:rFonts w:ascii="Calibri" w:eastAsia="Times New Roman" w:hAnsi="Calibri" w:cs="Calibri"/>
          <w:sz w:val="24"/>
          <w:szCs w:val="24"/>
          <w:lang w:val="es-ES_tradnl" w:eastAsia="es-ES"/>
        </w:rPr>
        <w:t xml:space="preserve">eliminar problemas de aplicación práctica, por defectuosa redacción de la Ley. Se trata de cuestiones técnicas y en algún caso son aspectos que el Estado ha señalado como viciados de posible inconstitucionalidad. </w:t>
      </w:r>
    </w:p>
    <w:p w14:paraId="29009852" w14:textId="77777777" w:rsidR="00384313" w:rsidRPr="00F41768" w:rsidRDefault="00B77FE8" w:rsidP="00CC67DA">
      <w:pPr>
        <w:spacing w:before="120" w:after="120" w:line="240" w:lineRule="auto"/>
        <w:jc w:val="both"/>
        <w:rPr>
          <w:rFonts w:ascii="Calibri" w:eastAsia="Times New Roman" w:hAnsi="Calibri" w:cs="Calibri"/>
          <w:sz w:val="24"/>
          <w:szCs w:val="24"/>
          <w:lang w:eastAsia="es-ES"/>
        </w:rPr>
      </w:pPr>
      <w:r w:rsidRPr="00B77FE8">
        <w:rPr>
          <w:rFonts w:ascii="Calibri" w:eastAsia="Times New Roman" w:hAnsi="Calibri" w:cs="Calibri"/>
          <w:sz w:val="24"/>
          <w:szCs w:val="24"/>
          <w:lang w:eastAsia="es-ES"/>
        </w:rPr>
        <w:t xml:space="preserve">En relación con los </w:t>
      </w:r>
      <w:r w:rsidRPr="00F41768">
        <w:rPr>
          <w:rFonts w:ascii="Calibri" w:eastAsia="Times New Roman" w:hAnsi="Calibri" w:cs="Calibri"/>
          <w:sz w:val="24"/>
          <w:szCs w:val="24"/>
          <w:u w:val="single"/>
          <w:lang w:eastAsia="es-ES"/>
        </w:rPr>
        <w:t>criterios de adjudicación</w:t>
      </w:r>
      <w:r w:rsidRPr="00B77FE8">
        <w:rPr>
          <w:rFonts w:ascii="Calibri" w:eastAsia="Times New Roman" w:hAnsi="Calibri" w:cs="Calibri"/>
          <w:sz w:val="24"/>
          <w:szCs w:val="24"/>
          <w:lang w:eastAsia="es-ES"/>
        </w:rPr>
        <w:t xml:space="preserve"> que incluye la Ley 11/2023 hay que garantizar que se </w:t>
      </w:r>
      <w:r>
        <w:rPr>
          <w:rFonts w:ascii="Calibri" w:eastAsia="Times New Roman" w:hAnsi="Calibri" w:cs="Calibri"/>
          <w:sz w:val="24"/>
          <w:szCs w:val="24"/>
          <w:lang w:eastAsia="es-ES"/>
        </w:rPr>
        <w:t>cumplen los requisitos básicos, por ello, se modifican l</w:t>
      </w:r>
      <w:r w:rsidR="00F41768">
        <w:rPr>
          <w:rFonts w:ascii="Calibri" w:eastAsia="Times New Roman" w:hAnsi="Calibri" w:cs="Calibri"/>
          <w:sz w:val="24"/>
          <w:szCs w:val="24"/>
          <w:lang w:eastAsia="es-ES"/>
        </w:rPr>
        <w:t>o</w:t>
      </w:r>
      <w:r>
        <w:rPr>
          <w:rFonts w:ascii="Calibri" w:eastAsia="Times New Roman" w:hAnsi="Calibri" w:cs="Calibri"/>
          <w:sz w:val="24"/>
          <w:szCs w:val="24"/>
          <w:lang w:eastAsia="es-ES"/>
        </w:rPr>
        <w:t>s artículos 30 y 39.</w:t>
      </w:r>
      <w:r w:rsidR="00F41768">
        <w:rPr>
          <w:rFonts w:ascii="Calibri" w:eastAsia="Times New Roman" w:hAnsi="Calibri" w:cs="Calibri"/>
          <w:sz w:val="24"/>
          <w:szCs w:val="24"/>
          <w:lang w:eastAsia="es-ES"/>
        </w:rPr>
        <w:t xml:space="preserve"> </w:t>
      </w:r>
      <w:r>
        <w:rPr>
          <w:rFonts w:ascii="Calibri" w:eastAsia="Times New Roman" w:hAnsi="Calibri" w:cs="Calibri"/>
          <w:sz w:val="24"/>
          <w:szCs w:val="24"/>
          <w:lang w:eastAsia="es-ES"/>
        </w:rPr>
        <w:t>E</w:t>
      </w:r>
      <w:r w:rsidRPr="00B77FE8">
        <w:rPr>
          <w:rFonts w:ascii="Calibri" w:eastAsia="Times New Roman" w:hAnsi="Calibri" w:cs="Calibri"/>
          <w:sz w:val="24"/>
          <w:szCs w:val="24"/>
          <w:lang w:eastAsia="es-ES"/>
        </w:rPr>
        <w:t xml:space="preserve">n el artículo 30, se precisa que la valoración del cumplimiento de los requisitos para obtener el sello Aragón Circular sólo podrá efectuarse cuando estos requisitos estén vinculados a la ejecución del contrato. En el artículo 39 se mantiene la aplicación de los principios de accesibilidad universal y diseño para todos, y la obligatoria acreditación del cumplimiento de las reservas sociales de empleo, pero se modifica para </w:t>
      </w:r>
      <w:r w:rsidRPr="00B77FE8">
        <w:rPr>
          <w:rFonts w:ascii="Calibri" w:eastAsia="Times New Roman" w:hAnsi="Calibri" w:cs="Calibri"/>
          <w:sz w:val="24"/>
          <w:szCs w:val="24"/>
          <w:lang w:eastAsia="es-ES"/>
        </w:rPr>
        <w:lastRenderedPageBreak/>
        <w:t>eliminar la posibilidad de que el cumplimiento de los requisitos para la obtención del sello de Responsabilidad Social de Aragón pueda utilizarse como criterio de adjudicación, puesto que contradice lo dispuesto expresamente en la Directiva 2014/24/ UE en su considerando 97: “la condición de que exista vínculo con el objeto del contrato [de los criterios de adjudicación], excluye los criterios y condiciones relativos a la política general de responsabilidad corporativa”</w:t>
      </w:r>
    </w:p>
    <w:p w14:paraId="16E052A4" w14:textId="77777777" w:rsidR="00722F0C" w:rsidRDefault="00722F0C" w:rsidP="00E8380D">
      <w:pPr>
        <w:spacing w:before="120" w:after="120" w:line="240" w:lineRule="auto"/>
        <w:jc w:val="both"/>
        <w:rPr>
          <w:rFonts w:ascii="Calibri" w:eastAsia="Times New Roman" w:hAnsi="Calibri" w:cs="Calibri"/>
          <w:sz w:val="24"/>
          <w:szCs w:val="24"/>
          <w:lang w:val="es-ES_tradnl" w:eastAsia="es-ES"/>
        </w:rPr>
      </w:pPr>
      <w:r>
        <w:rPr>
          <w:rFonts w:ascii="Calibri" w:eastAsia="Times New Roman" w:hAnsi="Calibri" w:cs="Calibri"/>
          <w:sz w:val="24"/>
          <w:szCs w:val="24"/>
          <w:lang w:val="es-ES_tradnl" w:eastAsia="es-ES"/>
        </w:rPr>
        <w:t>E</w:t>
      </w:r>
      <w:r w:rsidR="00B77FE8">
        <w:rPr>
          <w:rFonts w:ascii="Calibri" w:eastAsia="Times New Roman" w:hAnsi="Calibri" w:cs="Calibri"/>
          <w:sz w:val="24"/>
          <w:szCs w:val="24"/>
          <w:lang w:val="es-ES_tradnl" w:eastAsia="es-ES"/>
        </w:rPr>
        <w:t>l</w:t>
      </w:r>
      <w:r>
        <w:rPr>
          <w:rFonts w:ascii="Calibri" w:eastAsia="Times New Roman" w:hAnsi="Calibri" w:cs="Calibri"/>
          <w:sz w:val="24"/>
          <w:szCs w:val="24"/>
          <w:lang w:val="es-ES_tradnl" w:eastAsia="es-ES"/>
        </w:rPr>
        <w:t xml:space="preserve"> </w:t>
      </w:r>
      <w:r w:rsidR="00E8380D" w:rsidRPr="00E8380D">
        <w:rPr>
          <w:rFonts w:ascii="Calibri" w:eastAsia="Times New Roman" w:hAnsi="Calibri" w:cs="Calibri"/>
          <w:sz w:val="24"/>
          <w:szCs w:val="24"/>
          <w:lang w:val="es-ES_tradnl" w:eastAsia="es-ES"/>
        </w:rPr>
        <w:t xml:space="preserve">artículo 43 </w:t>
      </w:r>
      <w:r w:rsidR="00B77FE8">
        <w:rPr>
          <w:rFonts w:ascii="Calibri" w:eastAsia="Times New Roman" w:hAnsi="Calibri" w:cs="Calibri"/>
          <w:sz w:val="24"/>
          <w:szCs w:val="24"/>
          <w:lang w:val="es-ES_tradnl" w:eastAsia="es-ES"/>
        </w:rPr>
        <w:t xml:space="preserve">se modifica </w:t>
      </w:r>
      <w:r w:rsidR="00E8380D" w:rsidRPr="00E8380D">
        <w:rPr>
          <w:rFonts w:ascii="Calibri" w:eastAsia="Times New Roman" w:hAnsi="Calibri" w:cs="Calibri"/>
          <w:sz w:val="24"/>
          <w:szCs w:val="24"/>
          <w:lang w:val="es-ES_tradnl" w:eastAsia="es-ES"/>
        </w:rPr>
        <w:t>para ci</w:t>
      </w:r>
      <w:r w:rsidR="00E8380D">
        <w:rPr>
          <w:rFonts w:ascii="Calibri" w:eastAsia="Times New Roman" w:hAnsi="Calibri" w:cs="Calibri"/>
          <w:sz w:val="24"/>
          <w:szCs w:val="24"/>
          <w:lang w:val="es-ES_tradnl" w:eastAsia="es-ES"/>
        </w:rPr>
        <w:t xml:space="preserve">tar correctamente la </w:t>
      </w:r>
      <w:r w:rsidR="00E8380D" w:rsidRPr="00F41768">
        <w:rPr>
          <w:rFonts w:ascii="Calibri" w:eastAsia="Times New Roman" w:hAnsi="Calibri" w:cs="Calibri"/>
          <w:sz w:val="24"/>
          <w:szCs w:val="24"/>
          <w:u w:val="single"/>
          <w:lang w:val="es-ES_tradnl" w:eastAsia="es-ES"/>
        </w:rPr>
        <w:t>reserva de contratos que tiene que ser a favor de centro especiales de empleo “de iniciativa social”</w:t>
      </w:r>
      <w:r w:rsidR="00E8380D" w:rsidRPr="00E8380D">
        <w:rPr>
          <w:rFonts w:ascii="Calibri" w:eastAsia="Times New Roman" w:hAnsi="Calibri" w:cs="Calibri"/>
          <w:sz w:val="24"/>
          <w:szCs w:val="24"/>
          <w:lang w:val="es-ES_tradnl" w:eastAsia="es-ES"/>
        </w:rPr>
        <w:t xml:space="preserve">, tal y como exige la Disposición adicional </w:t>
      </w:r>
      <w:r w:rsidR="00E8380D">
        <w:rPr>
          <w:rFonts w:ascii="Calibri" w:eastAsia="Times New Roman" w:hAnsi="Calibri" w:cs="Calibri"/>
          <w:sz w:val="24"/>
          <w:szCs w:val="24"/>
          <w:lang w:val="es-ES_tradnl" w:eastAsia="es-ES"/>
        </w:rPr>
        <w:t xml:space="preserve">cuarta de la Ley 9/2017, inciso </w:t>
      </w:r>
      <w:r w:rsidR="00E8380D" w:rsidRPr="00E8380D">
        <w:rPr>
          <w:rFonts w:ascii="Calibri" w:eastAsia="Times New Roman" w:hAnsi="Calibri" w:cs="Calibri"/>
          <w:sz w:val="24"/>
          <w:szCs w:val="24"/>
          <w:lang w:val="es-ES_tradnl" w:eastAsia="es-ES"/>
        </w:rPr>
        <w:t>que no se hab</w:t>
      </w:r>
      <w:r w:rsidR="00E8380D">
        <w:rPr>
          <w:rFonts w:ascii="Calibri" w:eastAsia="Times New Roman" w:hAnsi="Calibri" w:cs="Calibri"/>
          <w:sz w:val="24"/>
          <w:szCs w:val="24"/>
          <w:lang w:val="es-ES_tradnl" w:eastAsia="es-ES"/>
        </w:rPr>
        <w:t xml:space="preserve">ía incorporado a la Ley 11/2023. </w:t>
      </w:r>
    </w:p>
    <w:p w14:paraId="36CF10AE" w14:textId="77777777" w:rsidR="00E8380D" w:rsidRDefault="00E8380D" w:rsidP="00E8380D">
      <w:pPr>
        <w:spacing w:before="120" w:after="120" w:line="240" w:lineRule="auto"/>
        <w:jc w:val="both"/>
        <w:rPr>
          <w:rFonts w:ascii="Calibri" w:eastAsia="Times New Roman" w:hAnsi="Calibri" w:cs="Calibri"/>
          <w:sz w:val="24"/>
          <w:szCs w:val="24"/>
          <w:lang w:val="es-ES_tradnl" w:eastAsia="es-ES"/>
        </w:rPr>
      </w:pPr>
      <w:r>
        <w:rPr>
          <w:rFonts w:ascii="Calibri" w:eastAsia="Times New Roman" w:hAnsi="Calibri" w:cs="Calibri"/>
          <w:sz w:val="24"/>
          <w:szCs w:val="24"/>
          <w:lang w:val="es-ES_tradnl" w:eastAsia="es-ES"/>
        </w:rPr>
        <w:t>También se modifican diversos artículos que utilizaban</w:t>
      </w:r>
      <w:r w:rsidRPr="00E8380D">
        <w:rPr>
          <w:rFonts w:ascii="Calibri" w:eastAsia="Times New Roman" w:hAnsi="Calibri" w:cs="Calibri"/>
          <w:sz w:val="24"/>
          <w:szCs w:val="24"/>
          <w:lang w:val="es-ES_tradnl" w:eastAsia="es-ES"/>
        </w:rPr>
        <w:t xml:space="preserve"> la</w:t>
      </w:r>
      <w:r>
        <w:rPr>
          <w:rFonts w:ascii="Calibri" w:eastAsia="Times New Roman" w:hAnsi="Calibri" w:cs="Calibri"/>
          <w:sz w:val="24"/>
          <w:szCs w:val="24"/>
          <w:lang w:val="es-ES_tradnl" w:eastAsia="es-ES"/>
        </w:rPr>
        <w:t>s</w:t>
      </w:r>
      <w:r w:rsidRPr="00E8380D">
        <w:rPr>
          <w:rFonts w:ascii="Calibri" w:eastAsia="Times New Roman" w:hAnsi="Calibri" w:cs="Calibri"/>
          <w:sz w:val="24"/>
          <w:szCs w:val="24"/>
          <w:lang w:val="es-ES_tradnl" w:eastAsia="es-ES"/>
        </w:rPr>
        <w:t xml:space="preserve"> exp</w:t>
      </w:r>
      <w:r>
        <w:rPr>
          <w:rFonts w:ascii="Calibri" w:eastAsia="Times New Roman" w:hAnsi="Calibri" w:cs="Calibri"/>
          <w:sz w:val="24"/>
          <w:szCs w:val="24"/>
          <w:lang w:val="es-ES_tradnl" w:eastAsia="es-ES"/>
        </w:rPr>
        <w:t xml:space="preserve">resiones “criterios sometidos a </w:t>
      </w:r>
      <w:r w:rsidRPr="00E8380D">
        <w:rPr>
          <w:rFonts w:ascii="Calibri" w:eastAsia="Times New Roman" w:hAnsi="Calibri" w:cs="Calibri"/>
          <w:sz w:val="24"/>
          <w:szCs w:val="24"/>
          <w:lang w:val="es-ES_tradnl" w:eastAsia="es-ES"/>
        </w:rPr>
        <w:t>evaluación posterior” y “criterios de evaluación pr</w:t>
      </w:r>
      <w:r>
        <w:rPr>
          <w:rFonts w:ascii="Calibri" w:eastAsia="Times New Roman" w:hAnsi="Calibri" w:cs="Calibri"/>
          <w:sz w:val="24"/>
          <w:szCs w:val="24"/>
          <w:lang w:val="es-ES_tradnl" w:eastAsia="es-ES"/>
        </w:rPr>
        <w:t xml:space="preserve">evia” en vez de la terminología </w:t>
      </w:r>
      <w:r w:rsidRPr="00E8380D">
        <w:rPr>
          <w:rFonts w:ascii="Calibri" w:eastAsia="Times New Roman" w:hAnsi="Calibri" w:cs="Calibri"/>
          <w:sz w:val="24"/>
          <w:szCs w:val="24"/>
          <w:lang w:val="es-ES_tradnl" w:eastAsia="es-ES"/>
        </w:rPr>
        <w:t>de la Ley 9/2017 “criterios de valoración aritmética” y</w:t>
      </w:r>
      <w:r>
        <w:rPr>
          <w:rFonts w:ascii="Calibri" w:eastAsia="Times New Roman" w:hAnsi="Calibri" w:cs="Calibri"/>
          <w:sz w:val="24"/>
          <w:szCs w:val="24"/>
          <w:lang w:val="es-ES_tradnl" w:eastAsia="es-ES"/>
        </w:rPr>
        <w:t xml:space="preserve"> “criterios sujetos a juicio de </w:t>
      </w:r>
      <w:r w:rsidRPr="00E8380D">
        <w:rPr>
          <w:rFonts w:ascii="Calibri" w:eastAsia="Times New Roman" w:hAnsi="Calibri" w:cs="Calibri"/>
          <w:sz w:val="24"/>
          <w:szCs w:val="24"/>
          <w:lang w:val="es-ES_tradnl" w:eastAsia="es-ES"/>
        </w:rPr>
        <w:t>valor” respectivamente</w:t>
      </w:r>
      <w:r>
        <w:rPr>
          <w:rFonts w:ascii="Calibri" w:eastAsia="Times New Roman" w:hAnsi="Calibri" w:cs="Calibri"/>
          <w:sz w:val="24"/>
          <w:szCs w:val="24"/>
          <w:lang w:val="es-ES_tradnl" w:eastAsia="es-ES"/>
        </w:rPr>
        <w:t>,</w:t>
      </w:r>
      <w:r w:rsidRPr="00E8380D">
        <w:rPr>
          <w:rFonts w:ascii="Calibri" w:eastAsia="Times New Roman" w:hAnsi="Calibri" w:cs="Calibri"/>
          <w:sz w:val="24"/>
          <w:szCs w:val="24"/>
          <w:lang w:val="es-ES_tradnl" w:eastAsia="es-ES"/>
        </w:rPr>
        <w:t xml:space="preserve"> para evitar las dudas sobre los sup</w:t>
      </w:r>
      <w:r>
        <w:rPr>
          <w:rFonts w:ascii="Calibri" w:eastAsia="Times New Roman" w:hAnsi="Calibri" w:cs="Calibri"/>
          <w:sz w:val="24"/>
          <w:szCs w:val="24"/>
          <w:lang w:val="es-ES_tradnl" w:eastAsia="es-ES"/>
        </w:rPr>
        <w:t xml:space="preserve">uestos en que debe constituirse </w:t>
      </w:r>
      <w:r w:rsidRPr="00E8380D">
        <w:rPr>
          <w:rFonts w:ascii="Calibri" w:eastAsia="Times New Roman" w:hAnsi="Calibri" w:cs="Calibri"/>
          <w:sz w:val="24"/>
          <w:szCs w:val="24"/>
          <w:lang w:val="es-ES_tradnl" w:eastAsia="es-ES"/>
        </w:rPr>
        <w:t>un comité de expertos para la valoración de lo</w:t>
      </w:r>
      <w:r>
        <w:rPr>
          <w:rFonts w:ascii="Calibri" w:eastAsia="Times New Roman" w:hAnsi="Calibri" w:cs="Calibri"/>
          <w:sz w:val="24"/>
          <w:szCs w:val="24"/>
          <w:lang w:val="es-ES_tradnl" w:eastAsia="es-ES"/>
        </w:rPr>
        <w:t xml:space="preserve">s criterios cuya cuantificación </w:t>
      </w:r>
      <w:r w:rsidRPr="00E8380D">
        <w:rPr>
          <w:rFonts w:ascii="Calibri" w:eastAsia="Times New Roman" w:hAnsi="Calibri" w:cs="Calibri"/>
          <w:sz w:val="24"/>
          <w:szCs w:val="24"/>
          <w:lang w:val="es-ES_tradnl" w:eastAsia="es-ES"/>
        </w:rPr>
        <w:t xml:space="preserve">dependa de un juicio de valor, en los casos en </w:t>
      </w:r>
      <w:r>
        <w:rPr>
          <w:rFonts w:ascii="Calibri" w:eastAsia="Times New Roman" w:hAnsi="Calibri" w:cs="Calibri"/>
          <w:sz w:val="24"/>
          <w:szCs w:val="24"/>
          <w:lang w:val="es-ES_tradnl" w:eastAsia="es-ES"/>
        </w:rPr>
        <w:t xml:space="preserve">que proceda por tener atribuida </w:t>
      </w:r>
      <w:r w:rsidRPr="00E8380D">
        <w:rPr>
          <w:rFonts w:ascii="Calibri" w:eastAsia="Times New Roman" w:hAnsi="Calibri" w:cs="Calibri"/>
          <w:sz w:val="24"/>
          <w:szCs w:val="24"/>
          <w:lang w:val="es-ES_tradnl" w:eastAsia="es-ES"/>
        </w:rPr>
        <w:t>una ponderación mayor que la correspondient</w:t>
      </w:r>
      <w:r>
        <w:rPr>
          <w:rFonts w:ascii="Calibri" w:eastAsia="Times New Roman" w:hAnsi="Calibri" w:cs="Calibri"/>
          <w:sz w:val="24"/>
          <w:szCs w:val="24"/>
          <w:lang w:val="es-ES_tradnl" w:eastAsia="es-ES"/>
        </w:rPr>
        <w:t xml:space="preserve">e a los criterios evaluables de </w:t>
      </w:r>
      <w:r w:rsidRPr="00E8380D">
        <w:rPr>
          <w:rFonts w:ascii="Calibri" w:eastAsia="Times New Roman" w:hAnsi="Calibri" w:cs="Calibri"/>
          <w:sz w:val="24"/>
          <w:szCs w:val="24"/>
          <w:lang w:val="es-ES_tradnl" w:eastAsia="es-ES"/>
        </w:rPr>
        <w:t>forma automática, y sobre la utilización del pro</w:t>
      </w:r>
      <w:r>
        <w:rPr>
          <w:rFonts w:ascii="Calibri" w:eastAsia="Times New Roman" w:hAnsi="Calibri" w:cs="Calibri"/>
          <w:sz w:val="24"/>
          <w:szCs w:val="24"/>
          <w:lang w:val="es-ES_tradnl" w:eastAsia="es-ES"/>
        </w:rPr>
        <w:t xml:space="preserve">cedimiento abierto simplificado </w:t>
      </w:r>
      <w:r w:rsidRPr="00E8380D">
        <w:rPr>
          <w:rFonts w:ascii="Calibri" w:eastAsia="Times New Roman" w:hAnsi="Calibri" w:cs="Calibri"/>
          <w:sz w:val="24"/>
          <w:szCs w:val="24"/>
          <w:lang w:val="es-ES_tradnl" w:eastAsia="es-ES"/>
        </w:rPr>
        <w:t>abreviado que solo permite criterios de adjudica</w:t>
      </w:r>
      <w:r>
        <w:rPr>
          <w:rFonts w:ascii="Calibri" w:eastAsia="Times New Roman" w:hAnsi="Calibri" w:cs="Calibri"/>
          <w:sz w:val="24"/>
          <w:szCs w:val="24"/>
          <w:lang w:val="es-ES_tradnl" w:eastAsia="es-ES"/>
        </w:rPr>
        <w:t xml:space="preserve">ción cuantificables mediante la </w:t>
      </w:r>
      <w:r w:rsidRPr="00E8380D">
        <w:rPr>
          <w:rFonts w:ascii="Calibri" w:eastAsia="Times New Roman" w:hAnsi="Calibri" w:cs="Calibri"/>
          <w:sz w:val="24"/>
          <w:szCs w:val="24"/>
          <w:lang w:val="es-ES_tradnl" w:eastAsia="es-ES"/>
        </w:rPr>
        <w:t>mera aplicación de fórmulas.</w:t>
      </w:r>
    </w:p>
    <w:p w14:paraId="40BFB868" w14:textId="77777777" w:rsidR="00352AAA" w:rsidRPr="00352AAA" w:rsidRDefault="00352AAA" w:rsidP="00FB6316">
      <w:pPr>
        <w:spacing w:before="120" w:after="120" w:line="240" w:lineRule="auto"/>
        <w:jc w:val="both"/>
        <w:rPr>
          <w:rFonts w:ascii="Calibri" w:eastAsia="Times New Roman" w:hAnsi="Calibri" w:cs="Arial"/>
          <w:color w:val="4472C4" w:themeColor="accent5"/>
          <w:sz w:val="24"/>
          <w:szCs w:val="24"/>
          <w:lang w:val="es-ES_tradnl" w:eastAsia="es-ES"/>
        </w:rPr>
      </w:pPr>
    </w:p>
    <w:sectPr w:rsidR="00352AAA" w:rsidRPr="00352AAA" w:rsidSect="00125FCB">
      <w:headerReference w:type="default" r:id="rId7"/>
      <w:footerReference w:type="default" r:id="rId8"/>
      <w:pgSz w:w="11906" w:h="16838"/>
      <w:pgMar w:top="1417" w:right="1701" w:bottom="99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470560" w14:textId="77777777" w:rsidR="00C1525F" w:rsidRDefault="00C1525F">
      <w:pPr>
        <w:spacing w:after="0" w:line="240" w:lineRule="auto"/>
      </w:pPr>
      <w:r>
        <w:separator/>
      </w:r>
    </w:p>
  </w:endnote>
  <w:endnote w:type="continuationSeparator" w:id="0">
    <w:p w14:paraId="0ED1208A" w14:textId="77777777" w:rsidR="00C1525F" w:rsidRDefault="00C152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6176365"/>
      <w:docPartObj>
        <w:docPartGallery w:val="Page Numbers (Bottom of Page)"/>
        <w:docPartUnique/>
      </w:docPartObj>
    </w:sdtPr>
    <w:sdtContent>
      <w:p w14:paraId="67331A62" w14:textId="77777777" w:rsidR="00542746" w:rsidRDefault="00FB6316">
        <w:pPr>
          <w:pStyle w:val="Piedepgina"/>
          <w:jc w:val="center"/>
        </w:pPr>
        <w:r>
          <w:fldChar w:fldCharType="begin"/>
        </w:r>
        <w:r>
          <w:instrText>PAGE   \* MERGEFORMAT</w:instrText>
        </w:r>
        <w:r>
          <w:fldChar w:fldCharType="separate"/>
        </w:r>
        <w:r w:rsidR="00F41768">
          <w:rPr>
            <w:noProof/>
          </w:rPr>
          <w:t>3</w:t>
        </w:r>
        <w:r>
          <w:fldChar w:fldCharType="end"/>
        </w:r>
      </w:p>
    </w:sdtContent>
  </w:sdt>
  <w:p w14:paraId="2E880ED9" w14:textId="77777777" w:rsidR="00542746" w:rsidRDefault="0054274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845434" w14:textId="77777777" w:rsidR="00C1525F" w:rsidRDefault="00C1525F">
      <w:pPr>
        <w:spacing w:after="0" w:line="240" w:lineRule="auto"/>
      </w:pPr>
      <w:r>
        <w:separator/>
      </w:r>
    </w:p>
  </w:footnote>
  <w:footnote w:type="continuationSeparator" w:id="0">
    <w:p w14:paraId="2E06C74B" w14:textId="77777777" w:rsidR="00C1525F" w:rsidRDefault="00C152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39DC9" w14:textId="77777777" w:rsidR="00542746" w:rsidRPr="00ED63C1" w:rsidRDefault="00542746" w:rsidP="00ED63C1">
    <w:pPr>
      <w:jc w:val="right"/>
      <w:rPr>
        <w:rFonts w:ascii="Arial" w:hAnsi="Arial" w:cs="Arial"/>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80DD5"/>
    <w:multiLevelType w:val="hybridMultilevel"/>
    <w:tmpl w:val="4162CE40"/>
    <w:lvl w:ilvl="0" w:tplc="2768468E">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32D05EC"/>
    <w:multiLevelType w:val="hybridMultilevel"/>
    <w:tmpl w:val="0294621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78D6F15"/>
    <w:multiLevelType w:val="hybridMultilevel"/>
    <w:tmpl w:val="FA3A2F9C"/>
    <w:lvl w:ilvl="0" w:tplc="2554588C">
      <w:start w:val="1"/>
      <w:numFmt w:val="upperRoman"/>
      <w:lvlText w:val="%1."/>
      <w:lvlJc w:val="right"/>
      <w:pPr>
        <w:ind w:left="360" w:hanging="360"/>
      </w:pPr>
      <w:rPr>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num w:numId="1" w16cid:durableId="906064951">
    <w:abstractNumId w:val="0"/>
  </w:num>
  <w:num w:numId="2" w16cid:durableId="275334738">
    <w:abstractNumId w:val="1"/>
  </w:num>
  <w:num w:numId="3" w16cid:durableId="2348290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0B9"/>
    <w:rsid w:val="000370EC"/>
    <w:rsid w:val="00114CAE"/>
    <w:rsid w:val="001856FA"/>
    <w:rsid w:val="002045DC"/>
    <w:rsid w:val="00294264"/>
    <w:rsid w:val="002D3DA9"/>
    <w:rsid w:val="00352AAA"/>
    <w:rsid w:val="00384313"/>
    <w:rsid w:val="003A62A3"/>
    <w:rsid w:val="004C0521"/>
    <w:rsid w:val="004C7B47"/>
    <w:rsid w:val="004D6F80"/>
    <w:rsid w:val="00542746"/>
    <w:rsid w:val="00722F0C"/>
    <w:rsid w:val="00734375"/>
    <w:rsid w:val="00770C30"/>
    <w:rsid w:val="00782E76"/>
    <w:rsid w:val="007A60B9"/>
    <w:rsid w:val="00807161"/>
    <w:rsid w:val="00821E8D"/>
    <w:rsid w:val="008776E0"/>
    <w:rsid w:val="008B6F31"/>
    <w:rsid w:val="00A04529"/>
    <w:rsid w:val="00A169A9"/>
    <w:rsid w:val="00B3171B"/>
    <w:rsid w:val="00B77FE8"/>
    <w:rsid w:val="00C10764"/>
    <w:rsid w:val="00C1525F"/>
    <w:rsid w:val="00C309A6"/>
    <w:rsid w:val="00CC67DA"/>
    <w:rsid w:val="00CD56F8"/>
    <w:rsid w:val="00D173EC"/>
    <w:rsid w:val="00D86895"/>
    <w:rsid w:val="00DF711C"/>
    <w:rsid w:val="00E37A2A"/>
    <w:rsid w:val="00E8380D"/>
    <w:rsid w:val="00EB43A7"/>
    <w:rsid w:val="00F41768"/>
    <w:rsid w:val="00F54B9A"/>
    <w:rsid w:val="00F605A6"/>
    <w:rsid w:val="00FB63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CF186"/>
  <w15:chartTrackingRefBased/>
  <w15:docId w15:val="{5D88D9F8-8E4A-4CAE-8CCE-29306DC9D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A60B9"/>
    <w:pPr>
      <w:ind w:left="720"/>
      <w:contextualSpacing/>
    </w:pPr>
  </w:style>
  <w:style w:type="paragraph" w:styleId="Piedepgina">
    <w:name w:val="footer"/>
    <w:basedOn w:val="Normal"/>
    <w:link w:val="PiedepginaCar"/>
    <w:uiPriority w:val="99"/>
    <w:unhideWhenUsed/>
    <w:rsid w:val="002D3DA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D3D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1293</Words>
  <Characters>7113</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Jesus Sánchez</cp:lastModifiedBy>
  <cp:revision>2</cp:revision>
  <cp:lastPrinted>2023-12-19T07:43:00Z</cp:lastPrinted>
  <dcterms:created xsi:type="dcterms:W3CDTF">2023-12-19T09:08:00Z</dcterms:created>
  <dcterms:modified xsi:type="dcterms:W3CDTF">2023-12-19T09:08:00Z</dcterms:modified>
</cp:coreProperties>
</file>